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png" ContentType="image/png"/>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70E" w:rsidRPr="001E723E" w:rsidRDefault="00F2670E" w:rsidP="00AA1155">
      <w:pPr>
        <w:spacing w:after="60"/>
        <w:ind w:left="1980" w:hanging="1980"/>
        <w:rPr>
          <w:szCs w:val="22"/>
        </w:rPr>
      </w:pPr>
      <w:r w:rsidRPr="001E723E">
        <w:rPr>
          <w:szCs w:val="22"/>
        </w:rPr>
        <w:t xml:space="preserve">Appendix CC:  </w:t>
      </w:r>
      <w:r w:rsidRPr="001E723E">
        <w:rPr>
          <w:szCs w:val="22"/>
        </w:rPr>
        <w:tab/>
        <w:t>Common Conditions.</w:t>
      </w:r>
    </w:p>
    <w:p w:rsidR="00F2670E" w:rsidRDefault="00F2670E" w:rsidP="00AA1155">
      <w:pPr>
        <w:spacing w:after="60"/>
        <w:ind w:left="1980" w:hanging="1980"/>
        <w:rPr>
          <w:szCs w:val="22"/>
        </w:rPr>
      </w:pPr>
      <w:r w:rsidRPr="001E723E">
        <w:rPr>
          <w:szCs w:val="22"/>
        </w:rPr>
        <w:t xml:space="preserve">Appendix CF:  </w:t>
      </w:r>
      <w:r w:rsidRPr="001E723E">
        <w:rPr>
          <w:szCs w:val="22"/>
        </w:rPr>
        <w:tab/>
        <w:t>Citation Formats and Glossary of Common Terms.</w:t>
      </w:r>
    </w:p>
    <w:p w:rsidR="00D27B2F" w:rsidRPr="001E723E" w:rsidRDefault="00D27B2F" w:rsidP="00AA1155">
      <w:pPr>
        <w:spacing w:after="60"/>
        <w:ind w:left="1980" w:hanging="1980"/>
        <w:rPr>
          <w:szCs w:val="22"/>
        </w:rPr>
      </w:pPr>
      <w:r>
        <w:rPr>
          <w:szCs w:val="22"/>
        </w:rPr>
        <w:t>Appendix CEMS</w:t>
      </w:r>
      <w:r>
        <w:rPr>
          <w:szCs w:val="22"/>
        </w:rPr>
        <w:tab/>
        <w:t>Continuous Emissions Monitoring System (CEMS) Requirements;</w:t>
      </w:r>
    </w:p>
    <w:p w:rsidR="00F2670E" w:rsidRPr="001E723E" w:rsidRDefault="00F2670E" w:rsidP="00AA1155">
      <w:pPr>
        <w:spacing w:after="60"/>
        <w:ind w:left="1980" w:hanging="1980"/>
        <w:rPr>
          <w:szCs w:val="22"/>
        </w:rPr>
      </w:pPr>
      <w:r w:rsidRPr="001E723E">
        <w:rPr>
          <w:szCs w:val="22"/>
        </w:rPr>
        <w:t xml:space="preserve">Appendix CTR:  </w:t>
      </w:r>
      <w:r w:rsidRPr="001E723E">
        <w:rPr>
          <w:szCs w:val="22"/>
        </w:rPr>
        <w:tab/>
        <w:t>Common Testing Requirements.</w:t>
      </w:r>
    </w:p>
    <w:p w:rsidR="00F2670E" w:rsidRPr="001E723E" w:rsidRDefault="00F2670E" w:rsidP="00AA1155">
      <w:pPr>
        <w:spacing w:after="60"/>
        <w:ind w:left="1980" w:hanging="1980"/>
        <w:rPr>
          <w:szCs w:val="22"/>
        </w:rPr>
      </w:pPr>
      <w:r w:rsidRPr="001E723E">
        <w:rPr>
          <w:szCs w:val="22"/>
        </w:rPr>
        <w:t>Appendix D</w:t>
      </w:r>
      <w:r w:rsidR="00A24CEF">
        <w:rPr>
          <w:szCs w:val="22"/>
        </w:rPr>
        <w:t>a</w:t>
      </w:r>
      <w:r w:rsidRPr="001E723E">
        <w:rPr>
          <w:szCs w:val="22"/>
        </w:rPr>
        <w:t xml:space="preserve">:  </w:t>
      </w:r>
      <w:r w:rsidRPr="001E723E">
        <w:rPr>
          <w:szCs w:val="22"/>
        </w:rPr>
        <w:tab/>
        <w:t>NSPS</w:t>
      </w:r>
      <w:r w:rsidR="00A24CEF" w:rsidRPr="001D4573">
        <w:rPr>
          <w:szCs w:val="22"/>
        </w:rPr>
        <w:t xml:space="preserve">, 40 CFR 60, Subpart Da </w:t>
      </w:r>
      <w:bookmarkStart w:id="0" w:name="OLE_LINK3"/>
      <w:bookmarkStart w:id="1" w:name="OLE_LINK4"/>
      <w:r w:rsidR="00A24CEF" w:rsidRPr="001D4573">
        <w:rPr>
          <w:szCs w:val="22"/>
        </w:rPr>
        <w:t>–</w:t>
      </w:r>
      <w:bookmarkEnd w:id="0"/>
      <w:bookmarkEnd w:id="1"/>
      <w:r w:rsidR="00A24CEF" w:rsidRPr="001D4573">
        <w:rPr>
          <w:szCs w:val="22"/>
        </w:rPr>
        <w:t xml:space="preserve"> Standards of Performance for Electric Utility Steam Generating Units for Which Construction Is Commenced After September 18, 1978</w:t>
      </w:r>
      <w:r w:rsidRPr="001E723E">
        <w:rPr>
          <w:szCs w:val="22"/>
        </w:rPr>
        <w:t>.</w:t>
      </w:r>
    </w:p>
    <w:p w:rsidR="00D56266" w:rsidRPr="001E723E" w:rsidRDefault="00D56266" w:rsidP="00AA1155">
      <w:pPr>
        <w:spacing w:after="60"/>
        <w:ind w:left="1980" w:hanging="1980"/>
        <w:rPr>
          <w:szCs w:val="22"/>
        </w:rPr>
      </w:pPr>
      <w:r w:rsidRPr="001E723E">
        <w:rPr>
          <w:szCs w:val="22"/>
        </w:rPr>
        <w:t>Appendix DDDDD</w:t>
      </w:r>
      <w:r w:rsidR="00AA1155" w:rsidRPr="001E723E">
        <w:rPr>
          <w:szCs w:val="22"/>
        </w:rPr>
        <w:t>:</w:t>
      </w:r>
      <w:r w:rsidRPr="001E723E">
        <w:rPr>
          <w:szCs w:val="22"/>
        </w:rPr>
        <w:tab/>
        <w:t xml:space="preserve">NESHAP Subpart DDDDD </w:t>
      </w:r>
      <w:r w:rsidR="00B860D8">
        <w:rPr>
          <w:szCs w:val="22"/>
        </w:rPr>
        <w:t xml:space="preserve">- </w:t>
      </w:r>
      <w:r w:rsidRPr="001E723E">
        <w:rPr>
          <w:szCs w:val="22"/>
        </w:rPr>
        <w:t>Industrial, Commercial, and Institutional Boilers and Process Heaters.</w:t>
      </w:r>
    </w:p>
    <w:p w:rsidR="00D32CB0" w:rsidRPr="001E723E" w:rsidRDefault="00D32CB0" w:rsidP="00AA1155">
      <w:pPr>
        <w:spacing w:after="60"/>
        <w:ind w:left="1980" w:hanging="1980"/>
        <w:rPr>
          <w:szCs w:val="22"/>
        </w:rPr>
      </w:pPr>
      <w:r w:rsidRPr="001E723E">
        <w:rPr>
          <w:szCs w:val="22"/>
        </w:rPr>
        <w:t>Appendix F:</w:t>
      </w:r>
      <w:r w:rsidRPr="001E723E">
        <w:rPr>
          <w:szCs w:val="22"/>
        </w:rPr>
        <w:tab/>
        <w:t>40 CFR 75, Appendix F, Section 5</w:t>
      </w:r>
      <w:r w:rsidR="00FD1E5E" w:rsidRPr="001E723E">
        <w:rPr>
          <w:szCs w:val="22"/>
        </w:rPr>
        <w:t xml:space="preserve"> – </w:t>
      </w:r>
      <w:r w:rsidRPr="001E723E">
        <w:rPr>
          <w:szCs w:val="22"/>
        </w:rPr>
        <w:t>Measurement of Boiler Heat Input Rate.</w:t>
      </w:r>
    </w:p>
    <w:p w:rsidR="00F2670E" w:rsidRPr="001E723E" w:rsidRDefault="00F2670E" w:rsidP="00AA1155">
      <w:pPr>
        <w:spacing w:after="60"/>
        <w:ind w:left="1980" w:hanging="1980"/>
        <w:rPr>
          <w:szCs w:val="22"/>
        </w:rPr>
      </w:pPr>
      <w:r w:rsidRPr="001E723E">
        <w:rPr>
          <w:szCs w:val="22"/>
        </w:rPr>
        <w:t xml:space="preserve">Appendix GC:  </w:t>
      </w:r>
      <w:r w:rsidRPr="001E723E">
        <w:rPr>
          <w:szCs w:val="22"/>
        </w:rPr>
        <w:tab/>
        <w:t>General Conditions.</w:t>
      </w:r>
    </w:p>
    <w:p w:rsidR="00F2670E" w:rsidRPr="001E723E" w:rsidRDefault="00F2670E" w:rsidP="00AA1155">
      <w:pPr>
        <w:spacing w:after="60"/>
        <w:ind w:left="1980" w:hanging="1980"/>
        <w:rPr>
          <w:szCs w:val="22"/>
        </w:rPr>
      </w:pPr>
      <w:r w:rsidRPr="001E723E">
        <w:rPr>
          <w:szCs w:val="22"/>
        </w:rPr>
        <w:t>Appendix</w:t>
      </w:r>
      <w:r w:rsidR="00FD1E5E" w:rsidRPr="001E723E">
        <w:rPr>
          <w:szCs w:val="22"/>
        </w:rPr>
        <w:t xml:space="preserve"> </w:t>
      </w:r>
      <w:r w:rsidRPr="001E723E">
        <w:rPr>
          <w:szCs w:val="22"/>
        </w:rPr>
        <w:t xml:space="preserve">GP:  </w:t>
      </w:r>
      <w:r w:rsidRPr="001E723E">
        <w:rPr>
          <w:szCs w:val="22"/>
        </w:rPr>
        <w:tab/>
      </w:r>
      <w:r w:rsidR="00AA1155" w:rsidRPr="001E723E">
        <w:rPr>
          <w:szCs w:val="22"/>
        </w:rPr>
        <w:t xml:space="preserve">NSPS and NESHAP </w:t>
      </w:r>
      <w:r w:rsidRPr="001E723E">
        <w:rPr>
          <w:szCs w:val="22"/>
        </w:rPr>
        <w:t>General Provisions.</w:t>
      </w:r>
    </w:p>
    <w:p w:rsidR="007634AB" w:rsidRPr="001E723E" w:rsidRDefault="007634AB" w:rsidP="00AA1155">
      <w:pPr>
        <w:spacing w:after="60"/>
        <w:ind w:left="1980" w:hanging="1980"/>
        <w:rPr>
          <w:szCs w:val="22"/>
        </w:rPr>
      </w:pPr>
    </w:p>
    <w:p w:rsidR="00B3764C" w:rsidRPr="00BF6BE2" w:rsidRDefault="00B3764C" w:rsidP="00BF6BE2">
      <w:pPr>
        <w:rPr>
          <w:szCs w:val="22"/>
        </w:rPr>
        <w:sectPr w:rsidR="00B3764C" w:rsidRPr="00BF6BE2" w:rsidSect="00912ADC">
          <w:headerReference w:type="default" r:id="rId8"/>
          <w:footerReference w:type="default" r:id="rId9"/>
          <w:pgSz w:w="12240" w:h="15840" w:code="1"/>
          <w:pgMar w:top="720" w:right="1008" w:bottom="720" w:left="1008" w:header="720" w:footer="720" w:gutter="0"/>
          <w:paperSrc w:first="15" w:other="15"/>
          <w:pgNumType w:start="1"/>
          <w:cols w:space="720"/>
        </w:sectPr>
      </w:pPr>
    </w:p>
    <w:p w:rsidR="00CD6AAF" w:rsidRPr="00CD6AAF" w:rsidRDefault="00CD6AAF" w:rsidP="00107651">
      <w:pPr>
        <w:pStyle w:val="BodyText"/>
        <w:widowControl w:val="0"/>
        <w:rPr>
          <w:bCs/>
          <w:iCs/>
          <w:szCs w:val="22"/>
        </w:rPr>
      </w:pPr>
      <w:r w:rsidRPr="00CD6AAF">
        <w:rPr>
          <w:bCs/>
          <w:iCs/>
          <w:szCs w:val="22"/>
        </w:rPr>
        <w:lastRenderedPageBreak/>
        <w:t xml:space="preserve">Unless otherwise specified in the permit, the following conditions apply to all </w:t>
      </w:r>
      <w:r w:rsidR="00922A3E">
        <w:rPr>
          <w:bCs/>
          <w:iCs/>
          <w:szCs w:val="22"/>
        </w:rPr>
        <w:t>Boiler D</w:t>
      </w:r>
      <w:r w:rsidRPr="00CD6AAF">
        <w:rPr>
          <w:bCs/>
          <w:iCs/>
          <w:szCs w:val="22"/>
        </w:rPr>
        <w:t xml:space="preserve"> and activities at </w:t>
      </w:r>
      <w:proofErr w:type="gramStart"/>
      <w:r w:rsidR="000068A1">
        <w:rPr>
          <w:bCs/>
          <w:iCs/>
          <w:szCs w:val="22"/>
        </w:rPr>
        <w:t xml:space="preserve">the </w:t>
      </w:r>
      <w:r w:rsidR="00922A3E">
        <w:rPr>
          <w:bCs/>
          <w:iCs/>
          <w:szCs w:val="22"/>
        </w:rPr>
        <w:t>at</w:t>
      </w:r>
      <w:proofErr w:type="gramEnd"/>
      <w:r w:rsidR="00922A3E">
        <w:rPr>
          <w:bCs/>
          <w:iCs/>
          <w:szCs w:val="22"/>
        </w:rPr>
        <w:t xml:space="preserve"> the NHPC Okeelanta Cogeneration Plant</w:t>
      </w:r>
      <w:r w:rsidRPr="00CD6AAF">
        <w:rPr>
          <w:bCs/>
          <w:iCs/>
          <w:szCs w:val="22"/>
        </w:rPr>
        <w:t>.</w:t>
      </w:r>
    </w:p>
    <w:p w:rsidR="00CD6AAF" w:rsidRPr="00CD6AAF" w:rsidRDefault="00CD6AAF" w:rsidP="00107651">
      <w:pPr>
        <w:widowControl w:val="0"/>
        <w:spacing w:after="120"/>
        <w:rPr>
          <w:b/>
          <w:caps/>
          <w:szCs w:val="22"/>
        </w:rPr>
      </w:pPr>
      <w:r w:rsidRPr="00CD6AAF">
        <w:rPr>
          <w:b/>
          <w:caps/>
          <w:szCs w:val="22"/>
        </w:rPr>
        <w:t>Emissions and Controls</w:t>
      </w:r>
    </w:p>
    <w:p w:rsidR="00CD6AAF" w:rsidRPr="00CD6AAF" w:rsidRDefault="00CD6AAF" w:rsidP="00CD6AA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CD6AA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CD6AA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w:t>
      </w:r>
      <w:r w:rsidR="00421C07">
        <w:rPr>
          <w:szCs w:val="22"/>
        </w:rPr>
        <w:t xml:space="preserve"> </w:t>
      </w:r>
      <w:r w:rsidRPr="00CD6AAF">
        <w:rPr>
          <w:szCs w:val="22"/>
        </w:rPr>
        <w:t>(Excess Emissions), F.A.C., cannot vary or supersede any federal NSPS or NESHAP provision.  [Rule 62-210.700(1), F.A.C.]</w:t>
      </w:r>
    </w:p>
    <w:p w:rsidR="00CD6AAF" w:rsidRPr="00CD6AAF" w:rsidRDefault="00CD6AAF" w:rsidP="00CD6AA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CD6AA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CD6AA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CD6AA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CD6AA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Pr="00CD6AAF" w:rsidRDefault="00CD6AAF" w:rsidP="00CD6AAF">
      <w:pPr>
        <w:widowControl w:val="0"/>
        <w:numPr>
          <w:ilvl w:val="0"/>
          <w:numId w:val="2"/>
        </w:numPr>
        <w:spacing w:after="60"/>
        <w:rPr>
          <w:szCs w:val="22"/>
        </w:rPr>
      </w:pPr>
      <w:r w:rsidRPr="00CD6AAF">
        <w:rPr>
          <w:szCs w:val="22"/>
          <w:u w:val="single"/>
        </w:rPr>
        <w:t>Unconfined Particulate Emissions</w:t>
      </w:r>
      <w:r w:rsidRPr="00CD6AAF">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CD6AAF">
        <w:rPr>
          <w:szCs w:val="22"/>
        </w:rPr>
        <w:t>)(</w:t>
      </w:r>
      <w:proofErr w:type="gramEnd"/>
      <w:r w:rsidRPr="00CD6AAF">
        <w:rPr>
          <w:szCs w:val="22"/>
        </w:rPr>
        <w:t>c), F.A.C.]</w:t>
      </w:r>
    </w:p>
    <w:p w:rsidR="00CD6AAF" w:rsidRPr="00CD6AAF" w:rsidRDefault="00CD6AAF" w:rsidP="00421C07">
      <w:pPr>
        <w:widowControl w:val="0"/>
        <w:spacing w:before="120" w:after="120"/>
        <w:rPr>
          <w:b/>
          <w:caps/>
          <w:szCs w:val="22"/>
        </w:rPr>
      </w:pPr>
      <w:r w:rsidRPr="00CD6AAF">
        <w:rPr>
          <w:b/>
          <w:caps/>
          <w:szCs w:val="22"/>
        </w:rPr>
        <w:t>Records and Reports</w:t>
      </w:r>
    </w:p>
    <w:p w:rsidR="00CD6AAF" w:rsidRPr="00CD6AAF" w:rsidRDefault="00CD6AAF" w:rsidP="00CD6AA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CD6AAF">
      <w:pPr>
        <w:widowControl w:val="0"/>
        <w:numPr>
          <w:ilvl w:val="0"/>
          <w:numId w:val="2"/>
        </w:numPr>
        <w:spacing w:after="60"/>
        <w:rPr>
          <w:szCs w:val="22"/>
          <w:u w:val="single"/>
        </w:rPr>
      </w:pPr>
      <w:r w:rsidRPr="00CD6AAF">
        <w:rPr>
          <w:bCs/>
          <w:szCs w:val="22"/>
          <w:u w:val="single"/>
        </w:rPr>
        <w:lastRenderedPageBreak/>
        <w:t>Emissions Computation and Reporting</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8"/>
        </w:numPr>
        <w:spacing w:after="60"/>
        <w:rPr>
          <w:sz w:val="22"/>
          <w:szCs w:val="22"/>
        </w:rPr>
      </w:pPr>
      <w:r w:rsidRPr="00CD6AAF">
        <w:rPr>
          <w:sz w:val="22"/>
          <w:szCs w:val="22"/>
        </w:rPr>
        <w:lastRenderedPageBreak/>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Mass Balance Calculations.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Emission Factors.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w:t>
      </w:r>
      <w:r w:rsidRPr="00CD6AAF">
        <w:rPr>
          <w:sz w:val="22"/>
          <w:szCs w:val="22"/>
        </w:rPr>
        <w:lastRenderedPageBreak/>
        <w:t xml:space="preserve">reasonable estimate of such emissions.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CE05BB">
      <w:pPr>
        <w:pStyle w:val="Default"/>
        <w:widowControl w:val="0"/>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synthetic non-Title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922A3E" w:rsidRDefault="00CD6AAF" w:rsidP="006E77EB">
      <w:pPr>
        <w:pStyle w:val="BodyText"/>
        <w:widowControl w:val="0"/>
        <w:spacing w:after="60"/>
        <w:ind w:left="360"/>
        <w:rPr>
          <w:bCs/>
          <w:szCs w:val="22"/>
        </w:rPr>
        <w:sectPr w:rsidR="00922A3E" w:rsidSect="00911769">
          <w:headerReference w:type="even" r:id="rId10"/>
          <w:headerReference w:type="default" r:id="rId11"/>
          <w:footerReference w:type="default" r:id="rId12"/>
          <w:headerReference w:type="first" r:id="rId13"/>
          <w:pgSz w:w="12240" w:h="15840" w:code="1"/>
          <w:pgMar w:top="720" w:right="1152" w:bottom="720" w:left="1152" w:header="720" w:footer="446" w:gutter="0"/>
          <w:paperSrc w:first="16640" w:other="16640"/>
          <w:pgNumType w:start="1"/>
          <w:cols w:space="720"/>
        </w:sectPr>
      </w:pPr>
      <w:r w:rsidRPr="00CD6AAF">
        <w:rPr>
          <w:bCs/>
          <w:iCs/>
          <w:szCs w:val="22"/>
        </w:rPr>
        <w:t xml:space="preserve">[Rule </w:t>
      </w:r>
      <w:r w:rsidRPr="00CD6AAF">
        <w:rPr>
          <w:bCs/>
          <w:szCs w:val="22"/>
        </w:rPr>
        <w:t>62-210.370, F.A.C.]</w:t>
      </w:r>
    </w:p>
    <w:p w:rsidR="00D27B2F" w:rsidRPr="00D27B2F" w:rsidRDefault="00D27B2F" w:rsidP="00D27B2F">
      <w:pPr>
        <w:keepNext/>
        <w:spacing w:after="120"/>
        <w:rPr>
          <w:b/>
          <w:caps/>
          <w:szCs w:val="22"/>
        </w:rPr>
      </w:pPr>
      <w:r w:rsidRPr="00D27B2F">
        <w:rPr>
          <w:b/>
          <w:caps/>
          <w:szCs w:val="22"/>
        </w:rPr>
        <w:lastRenderedPageBreak/>
        <w:t>CEMS Operation Plan</w:t>
      </w:r>
    </w:p>
    <w:p w:rsidR="00D27B2F" w:rsidRPr="00D27B2F" w:rsidRDefault="00D27B2F" w:rsidP="00D27B2F">
      <w:pPr>
        <w:numPr>
          <w:ilvl w:val="0"/>
          <w:numId w:val="58"/>
        </w:numPr>
        <w:spacing w:after="60"/>
        <w:rPr>
          <w:szCs w:val="22"/>
        </w:rPr>
      </w:pPr>
      <w:r w:rsidRPr="00D27B2F">
        <w:rPr>
          <w:szCs w:val="22"/>
          <w:u w:val="single"/>
        </w:rPr>
        <w:t>CEMS Operation Plan</w:t>
      </w:r>
      <w:r w:rsidRPr="00D27B2F">
        <w:rPr>
          <w:szCs w:val="22"/>
        </w:rPr>
        <w:t xml:space="preserve">:  The owner or operator shall create and implement a facility-wide plan for the proper installation, calibration, maintenance and operation of each CEMS required by this permit.  The owner or operator shall submit the CEMS Operation Plan to the </w:t>
      </w:r>
      <w:r>
        <w:rPr>
          <w:szCs w:val="22"/>
        </w:rPr>
        <w:t xml:space="preserve">Compliance Authority </w:t>
      </w:r>
      <w:r w:rsidRPr="00D27B2F">
        <w:rPr>
          <w:szCs w:val="22"/>
        </w:rPr>
        <w:t>for approval at least 60 days prior to CEMS installation.  The CEMS Operation Plan shall become effective 60 days after submittal or upon its approval.  If the CEMS Operation Plan is not approved, the owner or operator shall submit a new or revised plan for approval.</w:t>
      </w:r>
    </w:p>
    <w:p w:rsidR="00D27B2F" w:rsidRPr="00D27B2F" w:rsidRDefault="00D27B2F" w:rsidP="00D27B2F">
      <w:pPr>
        <w:spacing w:after="120"/>
        <w:ind w:left="360"/>
        <w:rPr>
          <w:szCs w:val="22"/>
        </w:rPr>
      </w:pPr>
      <w:r w:rsidRPr="00D27B2F">
        <w:rPr>
          <w:i/>
          <w:szCs w:val="22"/>
        </w:rPr>
        <w:t xml:space="preserve">{Permitting Note:  The Department maintains both guidelines for developing a CEMS Operation Plan and example language that can be used as the basis for the facility-wide plan required by this permit.  Contact the </w:t>
      </w:r>
      <w:r>
        <w:rPr>
          <w:i/>
          <w:szCs w:val="22"/>
        </w:rPr>
        <w:t>Office of Permitting and Compliance</w:t>
      </w:r>
      <w:r w:rsidRPr="00D27B2F">
        <w:rPr>
          <w:i/>
          <w:szCs w:val="22"/>
        </w:rPr>
        <w:t xml:space="preserve"> (850)</w:t>
      </w:r>
      <w:r>
        <w:rPr>
          <w:i/>
          <w:szCs w:val="22"/>
        </w:rPr>
        <w:t>717-9000</w:t>
      </w:r>
      <w:r w:rsidRPr="00D27B2F">
        <w:rPr>
          <w:i/>
          <w:szCs w:val="22"/>
        </w:rPr>
        <w:t>.}</w:t>
      </w:r>
    </w:p>
    <w:p w:rsidR="00D27B2F" w:rsidRPr="00D27B2F" w:rsidRDefault="00D27B2F" w:rsidP="00D27B2F">
      <w:pPr>
        <w:keepNext/>
        <w:spacing w:after="120"/>
        <w:rPr>
          <w:b/>
          <w:caps/>
          <w:szCs w:val="22"/>
        </w:rPr>
      </w:pPr>
      <w:r w:rsidRPr="00D27B2F">
        <w:rPr>
          <w:b/>
          <w:caps/>
          <w:szCs w:val="22"/>
        </w:rPr>
        <w:t>Installation, Performance Specifications and Quality Assurance</w:t>
      </w:r>
    </w:p>
    <w:p w:rsidR="00D27B2F" w:rsidRPr="00D27B2F" w:rsidRDefault="00D27B2F" w:rsidP="00D27B2F">
      <w:pPr>
        <w:numPr>
          <w:ilvl w:val="0"/>
          <w:numId w:val="58"/>
        </w:numPr>
        <w:spacing w:after="120"/>
        <w:rPr>
          <w:szCs w:val="22"/>
          <w:u w:val="single"/>
        </w:rPr>
      </w:pPr>
      <w:r w:rsidRPr="00D27B2F">
        <w:rPr>
          <w:szCs w:val="22"/>
          <w:u w:val="single"/>
        </w:rPr>
        <w:t>Timelines</w:t>
      </w:r>
      <w:r w:rsidRPr="00D27B2F">
        <w:rPr>
          <w:szCs w:val="22"/>
        </w:rPr>
        <w:t>:</w:t>
      </w:r>
    </w:p>
    <w:p w:rsidR="00D27B2F" w:rsidRPr="00D27B2F" w:rsidRDefault="00D27B2F" w:rsidP="00D27B2F">
      <w:pPr>
        <w:numPr>
          <w:ilvl w:val="0"/>
          <w:numId w:val="57"/>
        </w:numPr>
        <w:spacing w:after="120"/>
        <w:rPr>
          <w:szCs w:val="22"/>
        </w:rPr>
      </w:pPr>
      <w:r w:rsidRPr="00D27B2F">
        <w:rPr>
          <w:i/>
          <w:szCs w:val="22"/>
        </w:rPr>
        <w:t>New and Existing Emission Units.</w:t>
      </w:r>
      <w:r w:rsidRPr="00D27B2F">
        <w:rPr>
          <w:szCs w:val="22"/>
        </w:rPr>
        <w:t xml:space="preserve">  </w:t>
      </w:r>
      <w:r w:rsidRPr="00D27B2F">
        <w:rPr>
          <w:bCs/>
          <w:szCs w:val="22"/>
        </w:rPr>
        <w:t xml:space="preserve">For new emission units, the owner or operator shall install each CEMS required by this permit prior to initial startup of the unit.  The owner or operator shall conduct the appropriate performance specification for each CEMS within 90 operating days of achieving </w:t>
      </w:r>
      <w:r w:rsidRPr="00D27B2F">
        <w:rPr>
          <w:szCs w:val="22"/>
        </w:rPr>
        <w:t>permitted capacity as defined in Rule 62</w:t>
      </w:r>
      <w:r w:rsidRPr="00D27B2F">
        <w:rPr>
          <w:szCs w:val="22"/>
        </w:rPr>
        <w:noBreakHyphen/>
        <w:t>297.310(2), F.A.C., but no later than 180 calendar days after initial startup.</w:t>
      </w:r>
    </w:p>
    <w:p w:rsidR="00D27B2F" w:rsidRPr="00D27B2F" w:rsidRDefault="00D27B2F" w:rsidP="00D27B2F">
      <w:pPr>
        <w:numPr>
          <w:ilvl w:val="0"/>
          <w:numId w:val="58"/>
        </w:numPr>
        <w:spacing w:after="120"/>
        <w:rPr>
          <w:szCs w:val="22"/>
          <w:u w:val="single"/>
        </w:rPr>
      </w:pPr>
      <w:r w:rsidRPr="00D27B2F">
        <w:rPr>
          <w:szCs w:val="22"/>
          <w:u w:val="single"/>
        </w:rPr>
        <w:t>Installation</w:t>
      </w:r>
      <w:r w:rsidRPr="00D27B2F">
        <w:rPr>
          <w:szCs w:val="22"/>
        </w:rPr>
        <w:t xml:space="preserve">:  All CEMS shall be installed such that representative measurements of emissions or process parameters from the facility are obtained.  The owner or operator shall locate the CEMS by following the procedures contained in the applicable performance specification of 40 CFR </w:t>
      </w:r>
      <w:proofErr w:type="gramStart"/>
      <w:r w:rsidRPr="00D27B2F">
        <w:rPr>
          <w:szCs w:val="22"/>
        </w:rPr>
        <w:t>part</w:t>
      </w:r>
      <w:proofErr w:type="gramEnd"/>
      <w:r w:rsidRPr="00D27B2F">
        <w:rPr>
          <w:szCs w:val="22"/>
        </w:rPr>
        <w:t xml:space="preserve"> 60, Appendix B.</w:t>
      </w:r>
    </w:p>
    <w:p w:rsidR="00D27B2F" w:rsidRPr="00D27B2F" w:rsidRDefault="00D27B2F" w:rsidP="00D27B2F">
      <w:pPr>
        <w:widowControl w:val="0"/>
        <w:numPr>
          <w:ilvl w:val="0"/>
          <w:numId w:val="58"/>
        </w:numPr>
        <w:spacing w:after="120"/>
        <w:rPr>
          <w:szCs w:val="22"/>
        </w:rPr>
      </w:pPr>
      <w:r w:rsidRPr="00D27B2F">
        <w:rPr>
          <w:szCs w:val="22"/>
          <w:u w:val="single"/>
        </w:rPr>
        <w:t xml:space="preserve">Span Values and </w:t>
      </w:r>
      <w:smartTag w:uri="urn:schemas-microsoft-com:office:smarttags" w:element="place">
        <w:smartTag w:uri="urn:schemas-microsoft-com:office:smarttags" w:element="PlaceName">
          <w:r w:rsidRPr="00D27B2F">
            <w:rPr>
              <w:szCs w:val="22"/>
              <w:u w:val="single"/>
            </w:rPr>
            <w:t>Dual</w:t>
          </w:r>
        </w:smartTag>
        <w:r w:rsidRPr="00D27B2F">
          <w:rPr>
            <w:szCs w:val="22"/>
            <w:u w:val="single"/>
          </w:rPr>
          <w:t xml:space="preserve"> </w:t>
        </w:r>
        <w:smartTag w:uri="urn:schemas-microsoft-com:office:smarttags" w:element="PlaceType">
          <w:r w:rsidRPr="00D27B2F">
            <w:rPr>
              <w:szCs w:val="22"/>
              <w:u w:val="single"/>
            </w:rPr>
            <w:t>Range</w:t>
          </w:r>
        </w:smartTag>
      </w:smartTag>
      <w:r w:rsidRPr="00D27B2F">
        <w:rPr>
          <w:szCs w:val="22"/>
          <w:u w:val="single"/>
        </w:rPr>
        <w:t xml:space="preserve"> Monitors</w:t>
      </w:r>
      <w:r w:rsidRPr="00D27B2F">
        <w:rPr>
          <w:szCs w:val="22"/>
        </w:rPr>
        <w:t>:  The owner or operator shall set appropriate span values for the CEMS.  The owner or operator shall install dual range monitors if required by and in accordance with the CEMS Operation Plan.</w:t>
      </w:r>
    </w:p>
    <w:p w:rsidR="00D27B2F" w:rsidRPr="00D27B2F" w:rsidRDefault="00D27B2F" w:rsidP="00D27B2F">
      <w:pPr>
        <w:widowControl w:val="0"/>
        <w:numPr>
          <w:ilvl w:val="0"/>
          <w:numId w:val="58"/>
        </w:numPr>
        <w:spacing w:after="120"/>
        <w:rPr>
          <w:szCs w:val="22"/>
        </w:rPr>
      </w:pPr>
      <w:r w:rsidRPr="00D27B2F">
        <w:rPr>
          <w:szCs w:val="22"/>
          <w:u w:val="single"/>
        </w:rPr>
        <w:t>Continuous Flow Monitor</w:t>
      </w:r>
      <w:r w:rsidRPr="00D27B2F">
        <w:rPr>
          <w:szCs w:val="22"/>
        </w:rPr>
        <w:t xml:space="preserve">:  For compliance with mass emission rate standards, the owner or operator shall install a continuous flow monitor to determine the stack exhaust flow rate.  The flow monitor shall be certified pursuant to 40 CFR </w:t>
      </w:r>
      <w:proofErr w:type="gramStart"/>
      <w:r w:rsidRPr="00D27B2F">
        <w:rPr>
          <w:szCs w:val="22"/>
        </w:rPr>
        <w:t>part</w:t>
      </w:r>
      <w:proofErr w:type="gramEnd"/>
      <w:r w:rsidRPr="00D27B2F">
        <w:rPr>
          <w:szCs w:val="22"/>
        </w:rPr>
        <w:t xml:space="preserve"> 60, Appendix B, Performance Specification 6.</w:t>
      </w:r>
      <w:r w:rsidR="00AC107E">
        <w:rPr>
          <w:szCs w:val="22"/>
        </w:rPr>
        <w:t xml:space="preserve">  As an alternative, per </w:t>
      </w:r>
      <w:r w:rsidR="00AC107E">
        <w:t>Subpart 40 CFR 60.48Da(</w:t>
      </w:r>
      <w:proofErr w:type="spellStart"/>
      <w:r w:rsidR="00AC107E">
        <w:t>i</w:t>
      </w:r>
      <w:proofErr w:type="spellEnd"/>
      <w:r w:rsidR="00AC107E">
        <w:t>) and 49Da(n))</w:t>
      </w:r>
      <w:r w:rsidR="00B97E74">
        <w:t>,</w:t>
      </w:r>
      <w:r w:rsidR="00AC107E">
        <w:t xml:space="preserve"> lb/</w:t>
      </w:r>
      <w:proofErr w:type="spellStart"/>
      <w:r w:rsidR="00AC107E">
        <w:t>MMBtu</w:t>
      </w:r>
      <w:proofErr w:type="spellEnd"/>
      <w:r w:rsidR="00AC107E">
        <w:t xml:space="preserve"> may be measured with </w:t>
      </w:r>
      <w:r w:rsidR="00B97E74">
        <w:t>a</w:t>
      </w:r>
      <w:r w:rsidR="00AC107E">
        <w:t xml:space="preserve"> CEMS based on F-Factors and then multiplying by the heat input rate as measured by fuel flow monitors.</w:t>
      </w:r>
    </w:p>
    <w:p w:rsidR="00D27B2F" w:rsidRPr="00D27B2F" w:rsidRDefault="00D27B2F" w:rsidP="00D27B2F">
      <w:pPr>
        <w:widowControl w:val="0"/>
        <w:numPr>
          <w:ilvl w:val="0"/>
          <w:numId w:val="58"/>
        </w:numPr>
        <w:spacing w:after="120"/>
        <w:rPr>
          <w:szCs w:val="22"/>
        </w:rPr>
      </w:pPr>
      <w:r w:rsidRPr="00D27B2F">
        <w:rPr>
          <w:szCs w:val="22"/>
          <w:u w:val="single"/>
        </w:rPr>
        <w:t>Diluent Monitor</w:t>
      </w:r>
      <w:r w:rsidRPr="00D27B2F">
        <w:rPr>
          <w:szCs w:val="22"/>
        </w:rPr>
        <w:t>:  If it is necessary to correct the CEMS output to the oxygen concentrations specified in this permit’s emission standards, the owner or operator shall either install an oxygen monitor or install a CO</w:t>
      </w:r>
      <w:r w:rsidRPr="00D27B2F">
        <w:rPr>
          <w:szCs w:val="22"/>
          <w:vertAlign w:val="subscript"/>
        </w:rPr>
        <w:t>2</w:t>
      </w:r>
      <w:r w:rsidRPr="00D27B2F">
        <w:rPr>
          <w:szCs w:val="22"/>
        </w:rPr>
        <w:t xml:space="preserve"> monitor and use an appropriate F-Factor computational approach.</w:t>
      </w:r>
    </w:p>
    <w:p w:rsidR="00D27B2F" w:rsidRPr="00D27B2F" w:rsidRDefault="00D27B2F" w:rsidP="00D27B2F">
      <w:pPr>
        <w:numPr>
          <w:ilvl w:val="0"/>
          <w:numId w:val="58"/>
        </w:numPr>
        <w:rPr>
          <w:szCs w:val="22"/>
        </w:rPr>
      </w:pPr>
      <w:r w:rsidRPr="00D27B2F">
        <w:rPr>
          <w:szCs w:val="22"/>
          <w:u w:val="single"/>
        </w:rPr>
        <w:t>Moisture Correction</w:t>
      </w:r>
      <w:r w:rsidRPr="00D27B2F">
        <w:rPr>
          <w:szCs w:val="22"/>
        </w:rPr>
        <w:t>:  If necessary, the owner or operator shall determine the moisture content of the exhaust gas and develop an algorithm to enable correction of the monitoring results to a dry basis (0% moisture).</w:t>
      </w:r>
    </w:p>
    <w:p w:rsidR="00D27B2F" w:rsidRPr="00D27B2F" w:rsidRDefault="00D27B2F" w:rsidP="00D27B2F">
      <w:pPr>
        <w:spacing w:after="120"/>
        <w:ind w:left="360"/>
        <w:rPr>
          <w:szCs w:val="22"/>
        </w:rPr>
      </w:pPr>
      <w:r w:rsidRPr="00D27B2F">
        <w:rPr>
          <w:i/>
          <w:szCs w:val="22"/>
        </w:rPr>
        <w:t>{Permitting Note:  The CEMS Operation Plan will contain additional CEMS-specific details and procedures for installation.}</w:t>
      </w:r>
    </w:p>
    <w:p w:rsidR="00D27B2F" w:rsidRPr="00D27B2F" w:rsidRDefault="00D27B2F" w:rsidP="00D27B2F">
      <w:pPr>
        <w:keepNext/>
        <w:numPr>
          <w:ilvl w:val="0"/>
          <w:numId w:val="58"/>
        </w:numPr>
        <w:spacing w:after="120"/>
        <w:rPr>
          <w:szCs w:val="22"/>
        </w:rPr>
      </w:pPr>
      <w:r w:rsidRPr="00D27B2F">
        <w:rPr>
          <w:szCs w:val="22"/>
          <w:u w:val="single"/>
        </w:rPr>
        <w:t>Performance Specifications</w:t>
      </w:r>
      <w:r w:rsidRPr="00D27B2F">
        <w:rPr>
          <w:szCs w:val="22"/>
        </w:rPr>
        <w:t>:  The owner or operator shall evaluate the acceptability of each CEMS by conducting the appropriate performance specification, as follows.  CEMS determined to be unacceptable shall not be considered installed for purposes of meeting the timelines of this permit.</w:t>
      </w:r>
    </w:p>
    <w:p w:rsidR="00D27B2F" w:rsidRPr="00D27B2F" w:rsidRDefault="00D27B2F" w:rsidP="00D27B2F">
      <w:pPr>
        <w:numPr>
          <w:ilvl w:val="0"/>
          <w:numId w:val="59"/>
        </w:numPr>
        <w:spacing w:after="120"/>
        <w:rPr>
          <w:szCs w:val="22"/>
        </w:rPr>
      </w:pPr>
      <w:r w:rsidRPr="00D27B2F">
        <w:rPr>
          <w:i/>
          <w:szCs w:val="22"/>
          <w:u w:val="single"/>
        </w:rPr>
        <w:t>CO Monitors</w:t>
      </w:r>
      <w:r w:rsidRPr="00D27B2F">
        <w:rPr>
          <w:i/>
          <w:szCs w:val="22"/>
        </w:rPr>
        <w:t>:</w:t>
      </w:r>
      <w:r w:rsidRPr="00D27B2F">
        <w:rPr>
          <w:szCs w:val="22"/>
        </w:rPr>
        <w:t xml:space="preserve">  For CO monitors, the owner or operator shall conduct Performance Specification 4 or 4A of 40 CFR part 60, Appendix B</w:t>
      </w:r>
    </w:p>
    <w:p w:rsidR="00D27B2F" w:rsidRPr="00D27B2F" w:rsidRDefault="00D27B2F" w:rsidP="00D27B2F">
      <w:pPr>
        <w:numPr>
          <w:ilvl w:val="0"/>
          <w:numId w:val="59"/>
        </w:numPr>
        <w:spacing w:after="120"/>
        <w:rPr>
          <w:szCs w:val="22"/>
        </w:rPr>
      </w:pPr>
      <w:r w:rsidRPr="00D27B2F">
        <w:rPr>
          <w:i/>
          <w:szCs w:val="22"/>
          <w:u w:val="single"/>
        </w:rPr>
        <w:t>NO</w:t>
      </w:r>
      <w:r w:rsidRPr="00D27B2F">
        <w:rPr>
          <w:i/>
          <w:szCs w:val="22"/>
          <w:u w:val="single"/>
          <w:vertAlign w:val="subscript"/>
        </w:rPr>
        <w:t>X</w:t>
      </w:r>
      <w:r w:rsidRPr="00D27B2F">
        <w:rPr>
          <w:i/>
          <w:szCs w:val="22"/>
          <w:u w:val="single"/>
        </w:rPr>
        <w:t xml:space="preserve"> Monitor</w:t>
      </w:r>
      <w:r w:rsidRPr="00D27B2F">
        <w:rPr>
          <w:i/>
          <w:szCs w:val="22"/>
        </w:rPr>
        <w:t>:</w:t>
      </w:r>
      <w:r w:rsidRPr="00D27B2F">
        <w:rPr>
          <w:szCs w:val="22"/>
        </w:rPr>
        <w:t xml:space="preserve">  For </w:t>
      </w:r>
      <w:r>
        <w:rPr>
          <w:szCs w:val="22"/>
        </w:rPr>
        <w:t xml:space="preserve">the </w:t>
      </w:r>
      <w:r w:rsidRPr="00D27B2F">
        <w:rPr>
          <w:szCs w:val="22"/>
        </w:rPr>
        <w:t>NO</w:t>
      </w:r>
      <w:r w:rsidRPr="00D27B2F">
        <w:rPr>
          <w:szCs w:val="22"/>
          <w:vertAlign w:val="subscript"/>
        </w:rPr>
        <w:t>X</w:t>
      </w:r>
      <w:r w:rsidRPr="00D27B2F">
        <w:rPr>
          <w:szCs w:val="22"/>
        </w:rPr>
        <w:t xml:space="preserve"> monitor, the owner or operator shall conduct Performance Specification 2 of 40 CFR part 60, Appendix B.</w:t>
      </w:r>
    </w:p>
    <w:p w:rsidR="00D27B2F" w:rsidRPr="00D27B2F" w:rsidRDefault="00D27B2F" w:rsidP="00D27B2F">
      <w:pPr>
        <w:numPr>
          <w:ilvl w:val="0"/>
          <w:numId w:val="59"/>
        </w:numPr>
        <w:spacing w:after="120"/>
        <w:rPr>
          <w:szCs w:val="22"/>
        </w:rPr>
      </w:pPr>
      <w:r w:rsidRPr="00D27B2F">
        <w:rPr>
          <w:i/>
          <w:szCs w:val="22"/>
          <w:u w:val="single"/>
        </w:rPr>
        <w:lastRenderedPageBreak/>
        <w:t>COMS</w:t>
      </w:r>
      <w:r w:rsidRPr="00D27B2F">
        <w:rPr>
          <w:szCs w:val="22"/>
        </w:rPr>
        <w:t xml:space="preserve">:  In accordance with 40 CFR 60.48b(a) the permittee shall install, calibrate, operate and maintain a continuous opacity monitor (COM) to continuously monitor and record opacity from the steam generating unit.  The COMS shall be certified pursuant to 40 CFR 60 Appendix B, Performance Specification 1.  </w:t>
      </w:r>
    </w:p>
    <w:p w:rsidR="00D27B2F" w:rsidRPr="00D27B2F" w:rsidRDefault="00D27B2F" w:rsidP="00D27B2F">
      <w:pPr>
        <w:numPr>
          <w:ilvl w:val="0"/>
          <w:numId w:val="58"/>
        </w:numPr>
        <w:spacing w:after="120"/>
        <w:rPr>
          <w:szCs w:val="22"/>
        </w:rPr>
      </w:pPr>
      <w:r w:rsidRPr="00D27B2F">
        <w:rPr>
          <w:szCs w:val="22"/>
          <w:u w:val="single"/>
        </w:rPr>
        <w:t>Quality Assurance</w:t>
      </w:r>
      <w:r w:rsidRPr="00D27B2F">
        <w:rPr>
          <w:szCs w:val="22"/>
        </w:rPr>
        <w:t xml:space="preserve">:  The owner or operator shall follow the quality assurance procedures of 40 CFR </w:t>
      </w:r>
      <w:proofErr w:type="gramStart"/>
      <w:r w:rsidRPr="00D27B2F">
        <w:rPr>
          <w:szCs w:val="22"/>
        </w:rPr>
        <w:t>part</w:t>
      </w:r>
      <w:proofErr w:type="gramEnd"/>
      <w:r w:rsidRPr="00D27B2F">
        <w:rPr>
          <w:szCs w:val="22"/>
        </w:rPr>
        <w:t xml:space="preserve"> 60, Appendix F.</w:t>
      </w:r>
    </w:p>
    <w:p w:rsidR="00D27B2F" w:rsidRPr="00D27B2F" w:rsidRDefault="00D27B2F" w:rsidP="00D27B2F">
      <w:pPr>
        <w:numPr>
          <w:ilvl w:val="0"/>
          <w:numId w:val="56"/>
        </w:numPr>
        <w:spacing w:after="120"/>
        <w:rPr>
          <w:szCs w:val="22"/>
        </w:rPr>
      </w:pPr>
      <w:r w:rsidRPr="00D27B2F">
        <w:rPr>
          <w:i/>
          <w:szCs w:val="22"/>
          <w:u w:val="single"/>
        </w:rPr>
        <w:t>CO Monitors</w:t>
      </w:r>
      <w:r w:rsidRPr="00D27B2F">
        <w:rPr>
          <w:i/>
          <w:szCs w:val="22"/>
        </w:rPr>
        <w:t>:</w:t>
      </w:r>
      <w:r w:rsidRPr="00D27B2F">
        <w:rPr>
          <w:szCs w:val="22"/>
        </w:rPr>
        <w:t xml:space="preserve">  The required relative accuracy test audit (RATA) tests shall be performed using EPA Method 10 in Appendix </w:t>
      </w:r>
      <w:proofErr w:type="gramStart"/>
      <w:r w:rsidRPr="00D27B2F">
        <w:rPr>
          <w:szCs w:val="22"/>
        </w:rPr>
        <w:t>A</w:t>
      </w:r>
      <w:proofErr w:type="gramEnd"/>
      <w:r w:rsidRPr="00D27B2F">
        <w:rPr>
          <w:szCs w:val="22"/>
        </w:rPr>
        <w:t xml:space="preserve"> of 40 CFR part 60 and shall be based on a continuous sampling train.</w:t>
      </w:r>
    </w:p>
    <w:p w:rsidR="00D27B2F" w:rsidRPr="00D27B2F" w:rsidRDefault="00D27B2F" w:rsidP="00D27B2F">
      <w:pPr>
        <w:numPr>
          <w:ilvl w:val="0"/>
          <w:numId w:val="56"/>
        </w:numPr>
        <w:spacing w:after="120"/>
        <w:rPr>
          <w:szCs w:val="22"/>
        </w:rPr>
      </w:pPr>
      <w:r w:rsidRPr="00D27B2F">
        <w:rPr>
          <w:i/>
          <w:szCs w:val="22"/>
          <w:u w:val="single"/>
        </w:rPr>
        <w:t>NO</w:t>
      </w:r>
      <w:r w:rsidRPr="00D27B2F">
        <w:rPr>
          <w:i/>
          <w:szCs w:val="22"/>
          <w:u w:val="single"/>
          <w:vertAlign w:val="subscript"/>
        </w:rPr>
        <w:t>X</w:t>
      </w:r>
      <w:r w:rsidRPr="00D27B2F">
        <w:rPr>
          <w:i/>
          <w:szCs w:val="22"/>
          <w:u w:val="single"/>
        </w:rPr>
        <w:t xml:space="preserve"> Monitors</w:t>
      </w:r>
      <w:r w:rsidRPr="00D27B2F">
        <w:rPr>
          <w:i/>
          <w:szCs w:val="22"/>
        </w:rPr>
        <w:t>:</w:t>
      </w:r>
      <w:r w:rsidRPr="00D27B2F">
        <w:rPr>
          <w:szCs w:val="22"/>
        </w:rPr>
        <w:t xml:space="preserve">  The required RATA tests shall be performed using EPA Method 7E in Appendix </w:t>
      </w:r>
      <w:proofErr w:type="gramStart"/>
      <w:r w:rsidRPr="00D27B2F">
        <w:rPr>
          <w:szCs w:val="22"/>
        </w:rPr>
        <w:t>A</w:t>
      </w:r>
      <w:proofErr w:type="gramEnd"/>
      <w:r w:rsidRPr="00D27B2F">
        <w:rPr>
          <w:szCs w:val="22"/>
        </w:rPr>
        <w:t xml:space="preserve"> of 40 CFR part 60.  NO</w:t>
      </w:r>
      <w:r w:rsidRPr="00D27B2F">
        <w:rPr>
          <w:szCs w:val="22"/>
          <w:vertAlign w:val="subscript"/>
        </w:rPr>
        <w:t>X</w:t>
      </w:r>
      <w:r w:rsidRPr="00D27B2F">
        <w:rPr>
          <w:szCs w:val="22"/>
        </w:rPr>
        <w:t xml:space="preserve"> shall be expressed “as NO</w:t>
      </w:r>
      <w:r w:rsidRPr="00D27B2F">
        <w:rPr>
          <w:szCs w:val="22"/>
          <w:vertAlign w:val="subscript"/>
        </w:rPr>
        <w:t>2</w:t>
      </w:r>
      <w:r w:rsidRPr="00D27B2F">
        <w:rPr>
          <w:szCs w:val="22"/>
        </w:rPr>
        <w:t>.”</w:t>
      </w:r>
    </w:p>
    <w:p w:rsidR="00D27B2F" w:rsidRPr="00D27B2F" w:rsidRDefault="00D27B2F" w:rsidP="00D27B2F">
      <w:pPr>
        <w:numPr>
          <w:ilvl w:val="0"/>
          <w:numId w:val="58"/>
        </w:numPr>
        <w:spacing w:after="120"/>
        <w:rPr>
          <w:szCs w:val="22"/>
          <w:u w:val="single"/>
        </w:rPr>
      </w:pPr>
      <w:r w:rsidRPr="00D27B2F">
        <w:rPr>
          <w:szCs w:val="22"/>
          <w:u w:val="single"/>
        </w:rPr>
        <w:t>Substituting RATA Tests for Compliance Tests</w:t>
      </w:r>
      <w:r w:rsidRPr="00D27B2F">
        <w:rPr>
          <w:szCs w:val="22"/>
        </w:rPr>
        <w:t>:  Data collected during CEMS quality assurance RATA tests can substitute for annual stack tests, and vice versa, at the option of the owner or operator, provided the owner or operator indicates this intent in the submitted test protocol and follows the procedures outlined in the CEMS Operation Plan.</w:t>
      </w:r>
    </w:p>
    <w:p w:rsidR="00D27B2F" w:rsidRPr="00D27B2F" w:rsidRDefault="00D27B2F" w:rsidP="00D27B2F">
      <w:pPr>
        <w:keepNext/>
        <w:spacing w:after="120"/>
        <w:rPr>
          <w:b/>
          <w:caps/>
          <w:szCs w:val="22"/>
        </w:rPr>
      </w:pPr>
      <w:r w:rsidRPr="00D27B2F">
        <w:rPr>
          <w:b/>
          <w:caps/>
          <w:szCs w:val="22"/>
        </w:rPr>
        <w:t>Calculation Approach</w:t>
      </w:r>
    </w:p>
    <w:p w:rsidR="00D27B2F" w:rsidRPr="00D27B2F" w:rsidRDefault="00D27B2F" w:rsidP="00D27B2F">
      <w:pPr>
        <w:numPr>
          <w:ilvl w:val="0"/>
          <w:numId w:val="58"/>
        </w:numPr>
        <w:spacing w:after="120"/>
        <w:rPr>
          <w:szCs w:val="22"/>
          <w:u w:val="single"/>
        </w:rPr>
      </w:pPr>
      <w:r w:rsidRPr="00D27B2F">
        <w:rPr>
          <w:szCs w:val="22"/>
          <w:u w:val="single"/>
        </w:rPr>
        <w:t>CEMS Used for Compliance</w:t>
      </w:r>
      <w:r w:rsidRPr="00D27B2F">
        <w:rPr>
          <w:szCs w:val="22"/>
        </w:rPr>
        <w:t>:  Once adherence to the applicable performance specification for each CEMS is demonstrated, the owner or operator shall use the CEMS to demonstrate compliance with the applicable emission standards as specified by this permit.</w:t>
      </w:r>
    </w:p>
    <w:p w:rsidR="00D27B2F" w:rsidRPr="00D27B2F" w:rsidRDefault="00D27B2F" w:rsidP="00D27B2F">
      <w:pPr>
        <w:numPr>
          <w:ilvl w:val="0"/>
          <w:numId w:val="58"/>
        </w:numPr>
        <w:spacing w:after="120"/>
        <w:rPr>
          <w:szCs w:val="22"/>
        </w:rPr>
      </w:pPr>
      <w:r w:rsidRPr="00D27B2F">
        <w:rPr>
          <w:szCs w:val="22"/>
          <w:u w:val="single"/>
        </w:rPr>
        <w:t>CEMS Data</w:t>
      </w:r>
      <w:r w:rsidRPr="00D27B2F">
        <w:rPr>
          <w:szCs w:val="22"/>
        </w:rPr>
        <w:t>:  Each CEMS shall monitor and record emissions during all periods of operation and whenever emissions are being generated, including during episodes of startups, shutdowns, and malfunctions.  All data shall be used, e</w:t>
      </w:r>
      <w:r w:rsidRPr="00D27B2F">
        <w:rPr>
          <w:rFonts w:eastAsia="MS Mincho"/>
          <w:szCs w:val="22"/>
        </w:rPr>
        <w:t xml:space="preserve">xcept for invalid measurements taken during monitor system breakdowns, repairs, calibration checks, zero adjustments and span adjustments, and except for allowable data exclusions as per Condition </w:t>
      </w:r>
      <w:r w:rsidR="00AC107E">
        <w:rPr>
          <w:rFonts w:eastAsia="MS Mincho"/>
          <w:szCs w:val="22"/>
        </w:rPr>
        <w:t>19</w:t>
      </w:r>
      <w:r w:rsidRPr="00D27B2F">
        <w:rPr>
          <w:rFonts w:eastAsia="MS Mincho"/>
          <w:szCs w:val="22"/>
        </w:rPr>
        <w:t xml:space="preserve"> of this appendix.</w:t>
      </w:r>
    </w:p>
    <w:p w:rsidR="00D27B2F" w:rsidRPr="00D27B2F" w:rsidRDefault="00D27B2F" w:rsidP="00D27B2F">
      <w:pPr>
        <w:numPr>
          <w:ilvl w:val="0"/>
          <w:numId w:val="58"/>
        </w:numPr>
        <w:spacing w:after="120"/>
        <w:rPr>
          <w:szCs w:val="22"/>
        </w:rPr>
      </w:pPr>
      <w:r w:rsidRPr="00D27B2F">
        <w:rPr>
          <w:szCs w:val="22"/>
          <w:u w:val="single"/>
        </w:rPr>
        <w:t>Operating Hours and Operating Days</w:t>
      </w:r>
      <w:r w:rsidRPr="00D27B2F">
        <w:rPr>
          <w:szCs w:val="22"/>
        </w:rPr>
        <w:t>: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Unless otherwise specified by this permit, any day with at least one operating hour for an emissions unit is an operating day for that emission unit.</w:t>
      </w:r>
    </w:p>
    <w:p w:rsidR="00D27B2F" w:rsidRPr="00D27B2F" w:rsidRDefault="00D27B2F" w:rsidP="00D27B2F">
      <w:pPr>
        <w:numPr>
          <w:ilvl w:val="0"/>
          <w:numId w:val="58"/>
        </w:numPr>
        <w:spacing w:after="120"/>
        <w:rPr>
          <w:szCs w:val="22"/>
        </w:rPr>
      </w:pPr>
      <w:r w:rsidRPr="00D27B2F">
        <w:rPr>
          <w:szCs w:val="22"/>
          <w:u w:val="single"/>
        </w:rPr>
        <w:t>Valid Hourly Averages</w:t>
      </w:r>
      <w:r w:rsidRPr="00D27B2F">
        <w:rPr>
          <w:i/>
          <w:szCs w:val="22"/>
        </w:rPr>
        <w:t xml:space="preserve">:  </w:t>
      </w:r>
      <w:r w:rsidRPr="00D27B2F">
        <w:rPr>
          <w:szCs w:val="22"/>
        </w:rPr>
        <w:t>Each CEMS shall be designed and operated to sample, analyze and record data evenly spaced over the hour at a minimum of one measurement per minute.  All valid measurements collected during an hour shall be used to calculate a 1-hour block average that begins at the top of each hour.</w:t>
      </w:r>
    </w:p>
    <w:p w:rsidR="00D27B2F" w:rsidRPr="00D27B2F" w:rsidRDefault="00D27B2F" w:rsidP="00D27B2F">
      <w:pPr>
        <w:numPr>
          <w:ilvl w:val="1"/>
          <w:numId w:val="53"/>
        </w:numPr>
        <w:spacing w:after="120"/>
        <w:rPr>
          <w:szCs w:val="22"/>
        </w:rPr>
      </w:pPr>
      <w:r w:rsidRPr="00D27B2F">
        <w:rPr>
          <w:szCs w:val="22"/>
        </w:rPr>
        <w:t>Hours that are not operating hours are not valid hours.</w:t>
      </w:r>
    </w:p>
    <w:p w:rsidR="00D27B2F" w:rsidRPr="00D27B2F" w:rsidRDefault="00D27B2F" w:rsidP="00D27B2F">
      <w:pPr>
        <w:numPr>
          <w:ilvl w:val="1"/>
          <w:numId w:val="53"/>
        </w:numPr>
        <w:spacing w:after="120"/>
        <w:rPr>
          <w:szCs w:val="22"/>
        </w:rPr>
      </w:pPr>
      <w:r w:rsidRPr="00D27B2F">
        <w:rPr>
          <w:szCs w:val="22"/>
        </w:rPr>
        <w:t>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w:t>
      </w:r>
    </w:p>
    <w:p w:rsidR="00D27B2F" w:rsidRPr="00D27B2F" w:rsidRDefault="00D27B2F" w:rsidP="00D27B2F">
      <w:pPr>
        <w:numPr>
          <w:ilvl w:val="0"/>
          <w:numId w:val="58"/>
        </w:numPr>
        <w:spacing w:after="120"/>
        <w:rPr>
          <w:szCs w:val="22"/>
        </w:rPr>
      </w:pPr>
      <w:r w:rsidRPr="00D27B2F">
        <w:rPr>
          <w:szCs w:val="22"/>
          <w:u w:val="single"/>
        </w:rPr>
        <w:t>Calculation Approaches</w:t>
      </w:r>
      <w:r w:rsidRPr="00D27B2F">
        <w:rPr>
          <w:szCs w:val="22"/>
        </w:rPr>
        <w:t>:  The owner or operator shall implement the calculation approach specified by this permit for each CEMS, as follows:</w:t>
      </w:r>
    </w:p>
    <w:p w:rsidR="00D27B2F" w:rsidRPr="00D27B2F" w:rsidRDefault="00D27B2F" w:rsidP="00D27B2F">
      <w:pPr>
        <w:numPr>
          <w:ilvl w:val="0"/>
          <w:numId w:val="55"/>
        </w:numPr>
        <w:spacing w:after="120"/>
        <w:rPr>
          <w:szCs w:val="22"/>
        </w:rPr>
      </w:pPr>
      <w:r w:rsidRPr="00D27B2F">
        <w:rPr>
          <w:i/>
          <w:szCs w:val="22"/>
        </w:rPr>
        <w:t>Rolling 30-day Average</w:t>
      </w:r>
      <w:r w:rsidRPr="00D27B2F">
        <w:rPr>
          <w:szCs w:val="22"/>
        </w:rPr>
        <w:t>:  Compliance shall be determined after each operating day by calculating the arithmetic average of all the valid hourly averages from that operating day and the prior 29 operating days.</w:t>
      </w:r>
    </w:p>
    <w:p w:rsidR="00D27B2F" w:rsidRPr="00D27B2F" w:rsidRDefault="00D27B2F" w:rsidP="00D27B2F">
      <w:pPr>
        <w:keepNext/>
        <w:spacing w:after="120"/>
        <w:rPr>
          <w:b/>
          <w:caps/>
          <w:szCs w:val="22"/>
        </w:rPr>
      </w:pPr>
      <w:r w:rsidRPr="00D27B2F">
        <w:rPr>
          <w:b/>
          <w:caps/>
          <w:szCs w:val="22"/>
        </w:rPr>
        <w:lastRenderedPageBreak/>
        <w:t>Monitor Availability</w:t>
      </w:r>
    </w:p>
    <w:p w:rsidR="00D27B2F" w:rsidRPr="00D27B2F" w:rsidRDefault="00D27B2F" w:rsidP="00D27B2F">
      <w:pPr>
        <w:numPr>
          <w:ilvl w:val="0"/>
          <w:numId w:val="58"/>
        </w:numPr>
        <w:spacing w:after="120"/>
        <w:rPr>
          <w:szCs w:val="22"/>
        </w:rPr>
      </w:pPr>
      <w:r w:rsidRPr="00D27B2F">
        <w:rPr>
          <w:szCs w:val="22"/>
          <w:u w:val="single"/>
        </w:rPr>
        <w:t>Monitor Availability</w:t>
      </w:r>
      <w:r w:rsidRPr="00D27B2F">
        <w:rPr>
          <w:szCs w:val="22"/>
        </w:rPr>
        <w:t>:  The quarterly excess emissions report shall identify monitor availability for each quarter in which the unit operated.  Monitor availability for the CEMS shall be 95% or greater in any calendar quarter in which the unit operated for more than 760 hours.  In the event the applicable availability is not achieved, the permittee shall provide the Department with a report identifying the problems in achieving the required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r w:rsidRPr="00D27B2F">
        <w:rPr>
          <w:snapToGrid w:val="0"/>
          <w:szCs w:val="22"/>
        </w:rPr>
        <w:t xml:space="preserve"> </w:t>
      </w:r>
    </w:p>
    <w:p w:rsidR="00D27B2F" w:rsidRPr="00D27B2F" w:rsidRDefault="00D27B2F" w:rsidP="00D27B2F">
      <w:pPr>
        <w:keepNext/>
        <w:keepLines/>
        <w:spacing w:after="120"/>
        <w:rPr>
          <w:b/>
          <w:caps/>
          <w:szCs w:val="22"/>
        </w:rPr>
      </w:pPr>
      <w:r w:rsidRPr="00D27B2F">
        <w:rPr>
          <w:b/>
          <w:caps/>
          <w:szCs w:val="22"/>
        </w:rPr>
        <w:t>Excess Emissions</w:t>
      </w:r>
    </w:p>
    <w:p w:rsidR="00D27B2F" w:rsidRPr="00D27B2F" w:rsidRDefault="00D27B2F" w:rsidP="00D27B2F">
      <w:pPr>
        <w:keepNext/>
        <w:keepLines/>
        <w:numPr>
          <w:ilvl w:val="0"/>
          <w:numId w:val="58"/>
        </w:numPr>
        <w:spacing w:after="120"/>
        <w:rPr>
          <w:szCs w:val="22"/>
        </w:rPr>
      </w:pPr>
      <w:r w:rsidRPr="00D27B2F">
        <w:rPr>
          <w:szCs w:val="22"/>
          <w:u w:val="single"/>
        </w:rPr>
        <w:t>Definitions</w:t>
      </w:r>
      <w:r w:rsidRPr="00D27B2F">
        <w:rPr>
          <w:szCs w:val="22"/>
        </w:rPr>
        <w:t>:</w:t>
      </w:r>
    </w:p>
    <w:p w:rsidR="00D27B2F" w:rsidRPr="00D27B2F" w:rsidRDefault="00D27B2F" w:rsidP="00D27B2F">
      <w:pPr>
        <w:widowControl w:val="0"/>
        <w:numPr>
          <w:ilvl w:val="1"/>
          <w:numId w:val="52"/>
        </w:numPr>
        <w:spacing w:after="120"/>
        <w:rPr>
          <w:szCs w:val="22"/>
        </w:rPr>
      </w:pPr>
      <w:r w:rsidRPr="00D27B2F">
        <w:rPr>
          <w:i/>
          <w:szCs w:val="22"/>
        </w:rPr>
        <w:t>Startup</w:t>
      </w:r>
      <w:r w:rsidRPr="00D27B2F">
        <w:rPr>
          <w:szCs w:val="22"/>
        </w:rPr>
        <w:t xml:space="preserve"> is defined as the commencement of operation of any emissions unit which has shut down or ceased operation for a period of time sufficient to cause temperature, pressure, chemical or pollution control device imbalances, which result in excess emissions.</w:t>
      </w:r>
    </w:p>
    <w:p w:rsidR="00D27B2F" w:rsidRPr="00D27B2F" w:rsidRDefault="00D27B2F" w:rsidP="00D27B2F">
      <w:pPr>
        <w:widowControl w:val="0"/>
        <w:numPr>
          <w:ilvl w:val="1"/>
          <w:numId w:val="52"/>
        </w:numPr>
        <w:spacing w:after="120"/>
        <w:rPr>
          <w:szCs w:val="22"/>
        </w:rPr>
      </w:pPr>
      <w:r w:rsidRPr="00D27B2F">
        <w:rPr>
          <w:i/>
          <w:szCs w:val="22"/>
        </w:rPr>
        <w:t>Shutdown</w:t>
      </w:r>
      <w:r w:rsidRPr="00D27B2F">
        <w:rPr>
          <w:szCs w:val="22"/>
        </w:rPr>
        <w:t xml:space="preserve"> means the cessation of the operation of an emissions unit for any purpose.</w:t>
      </w:r>
    </w:p>
    <w:p w:rsidR="00D27B2F" w:rsidRPr="00D27B2F" w:rsidRDefault="00D27B2F" w:rsidP="00D27B2F">
      <w:pPr>
        <w:widowControl w:val="0"/>
        <w:numPr>
          <w:ilvl w:val="1"/>
          <w:numId w:val="52"/>
        </w:numPr>
        <w:spacing w:after="120"/>
        <w:rPr>
          <w:szCs w:val="22"/>
        </w:rPr>
      </w:pPr>
      <w:r w:rsidRPr="00D27B2F">
        <w:rPr>
          <w:i/>
          <w:szCs w:val="22"/>
        </w:rPr>
        <w:t>Malfunction</w:t>
      </w:r>
      <w:r w:rsidRPr="00D27B2F">
        <w:rPr>
          <w:szCs w:val="22"/>
        </w:rPr>
        <w:t xml:space="preserve"> means any unavoidable mechanical and/or electrical failure of air pollution control equipment or process equipment or of a process resulting in operation in an abnormal or unusual manner.</w:t>
      </w:r>
    </w:p>
    <w:p w:rsidR="00D27B2F" w:rsidRPr="00D27B2F" w:rsidRDefault="00D27B2F" w:rsidP="00D27B2F">
      <w:pPr>
        <w:numPr>
          <w:ilvl w:val="0"/>
          <w:numId w:val="58"/>
        </w:numPr>
        <w:spacing w:after="120"/>
        <w:rPr>
          <w:szCs w:val="22"/>
        </w:rPr>
      </w:pPr>
      <w:r w:rsidRPr="00D27B2F">
        <w:rPr>
          <w:szCs w:val="22"/>
          <w:u w:val="single"/>
        </w:rPr>
        <w:t>Excess Emissions Prohibited</w:t>
      </w:r>
      <w:r w:rsidRPr="00D27B2F">
        <w:rPr>
          <w:szCs w:val="22"/>
        </w:rPr>
        <w:t>:  Excess emissions caused entirely or in part by poor maintenance, poor operation or any other equipment or process failure that may reasonably be prevented during startup, shutdown or malfunction shall be prohibited.</w:t>
      </w:r>
    </w:p>
    <w:p w:rsidR="00D27B2F" w:rsidRPr="00D27B2F" w:rsidRDefault="00D27B2F" w:rsidP="00D27B2F">
      <w:pPr>
        <w:numPr>
          <w:ilvl w:val="0"/>
          <w:numId w:val="58"/>
        </w:numPr>
        <w:spacing w:after="120"/>
        <w:rPr>
          <w:szCs w:val="22"/>
        </w:rPr>
      </w:pPr>
      <w:r w:rsidRPr="00D27B2F">
        <w:rPr>
          <w:szCs w:val="22"/>
          <w:u w:val="single"/>
        </w:rPr>
        <w:t>Data Exclusion Procedures for SIP Compliance</w:t>
      </w:r>
      <w:r w:rsidRPr="00D27B2F">
        <w:rPr>
          <w:szCs w:val="22"/>
        </w:rPr>
        <w:t>:  As per the procedures in this condition, limited amounts of CEMS emissions data may be excluded from the corresponding compliance demonstration, provided that best operational practices to minimize emissions are adhered to and the duration of data excluded is minimized.  The data exclusion procedures of this condition apply only to SIP-based emission limits</w:t>
      </w:r>
      <w:r w:rsidR="00AC107E">
        <w:rPr>
          <w:szCs w:val="22"/>
        </w:rPr>
        <w:t xml:space="preserve"> (NO</w:t>
      </w:r>
      <w:r w:rsidR="00AC107E" w:rsidRPr="00AC107E">
        <w:rPr>
          <w:szCs w:val="22"/>
          <w:vertAlign w:val="subscript"/>
        </w:rPr>
        <w:t>X</w:t>
      </w:r>
      <w:r w:rsidR="00AC107E">
        <w:rPr>
          <w:szCs w:val="22"/>
        </w:rPr>
        <w:t>, CO and Opacity)</w:t>
      </w:r>
      <w:r w:rsidRPr="00D27B2F">
        <w:rPr>
          <w:szCs w:val="22"/>
        </w:rPr>
        <w:t>.</w:t>
      </w:r>
    </w:p>
    <w:p w:rsidR="00D27B2F" w:rsidRPr="00D27B2F" w:rsidRDefault="00D27B2F" w:rsidP="00D27B2F">
      <w:pPr>
        <w:numPr>
          <w:ilvl w:val="0"/>
          <w:numId w:val="54"/>
        </w:numPr>
        <w:spacing w:after="120"/>
        <w:rPr>
          <w:szCs w:val="22"/>
        </w:rPr>
      </w:pPr>
      <w:r w:rsidRPr="00D27B2F">
        <w:rPr>
          <w:i/>
          <w:szCs w:val="22"/>
        </w:rPr>
        <w:t>Excess Emissions Allowed.</w:t>
      </w:r>
      <w:r w:rsidRPr="00D27B2F">
        <w:rPr>
          <w:szCs w:val="22"/>
        </w:rPr>
        <w:t xml:space="preserve">  Data in excess of the applicable emission standard </w:t>
      </w:r>
      <w:r w:rsidR="00AC107E">
        <w:rPr>
          <w:szCs w:val="22"/>
        </w:rPr>
        <w:t xml:space="preserve">on a pounds per hour basis </w:t>
      </w:r>
      <w:r w:rsidRPr="00D27B2F">
        <w:rPr>
          <w:szCs w:val="22"/>
        </w:rPr>
        <w:t xml:space="preserve">may be excluded from compliance calculations if the data are collected during periods of permitted excess emissions (for example, during startup, shutdown or malfunction).  The maximum duration of excluded data is 2 hours in any 24-hour period, unless some other duration is specified by this permit.  </w:t>
      </w:r>
    </w:p>
    <w:p w:rsidR="00D27B2F" w:rsidRPr="00D27B2F" w:rsidRDefault="00D27B2F" w:rsidP="00D27B2F">
      <w:pPr>
        <w:numPr>
          <w:ilvl w:val="0"/>
          <w:numId w:val="54"/>
        </w:numPr>
        <w:spacing w:after="120"/>
        <w:rPr>
          <w:szCs w:val="22"/>
        </w:rPr>
      </w:pPr>
      <w:r w:rsidRPr="00D27B2F">
        <w:rPr>
          <w:i/>
          <w:szCs w:val="22"/>
        </w:rPr>
        <w:t>Limited Data Exclusion.</w:t>
      </w:r>
      <w:r w:rsidRPr="00D27B2F">
        <w:rPr>
          <w:szCs w:val="22"/>
        </w:rPr>
        <w:t xml:space="preserve">  If the compliance calculation using all valid CEMS emission data, as defined in Condition 12 of this appendix, indicates that the emission unit is in compliance, then no CEMS data shall be excluded from the compliance demonstration.</w:t>
      </w:r>
    </w:p>
    <w:p w:rsidR="00D27B2F" w:rsidRPr="00D27B2F" w:rsidRDefault="00D27B2F" w:rsidP="00D27B2F">
      <w:pPr>
        <w:numPr>
          <w:ilvl w:val="0"/>
          <w:numId w:val="54"/>
        </w:numPr>
        <w:spacing w:after="120"/>
        <w:rPr>
          <w:szCs w:val="22"/>
        </w:rPr>
      </w:pPr>
      <w:r w:rsidRPr="00D27B2F">
        <w:rPr>
          <w:i/>
          <w:szCs w:val="22"/>
        </w:rPr>
        <w:t>Event Driven Exclusion.</w:t>
      </w:r>
      <w:r w:rsidRPr="00D27B2F">
        <w:rPr>
          <w:szCs w:val="22"/>
        </w:rPr>
        <w:t xml:space="preserve">  The underlying event (for example, the startup, shutdown or malfunction event) must precede the data exclusion.  If there is no underlying event, then no data may be excluded.  Only data collected during the event may be excluded.</w:t>
      </w:r>
    </w:p>
    <w:p w:rsidR="00D27B2F" w:rsidRPr="00D27B2F" w:rsidRDefault="00D27B2F" w:rsidP="00D27B2F">
      <w:pPr>
        <w:numPr>
          <w:ilvl w:val="0"/>
          <w:numId w:val="54"/>
        </w:numPr>
        <w:spacing w:after="120"/>
        <w:rPr>
          <w:szCs w:val="22"/>
        </w:rPr>
      </w:pPr>
      <w:r w:rsidRPr="00D27B2F">
        <w:rPr>
          <w:i/>
          <w:szCs w:val="22"/>
        </w:rPr>
        <w:t>Reporting Excluded Data.</w:t>
      </w:r>
      <w:r w:rsidRPr="00D27B2F">
        <w:rPr>
          <w:szCs w:val="22"/>
        </w:rPr>
        <w:t xml:space="preserve">  The data exclusion procedures of this condition are not necessarily the same procedures used for excess emissions as defined by federal rules.  Quarterly or semi-annual reports required by this permit shall indicate not only the duration of data excluded from SIP compliance calculations but also the number of excess emissions as defined by federal rules.</w:t>
      </w:r>
    </w:p>
    <w:p w:rsidR="00D27B2F" w:rsidRPr="00D27B2F" w:rsidRDefault="00D27B2F" w:rsidP="00D27B2F">
      <w:pPr>
        <w:numPr>
          <w:ilvl w:val="0"/>
          <w:numId w:val="58"/>
        </w:numPr>
        <w:spacing w:after="120"/>
        <w:rPr>
          <w:szCs w:val="22"/>
        </w:rPr>
      </w:pPr>
      <w:r w:rsidRPr="00D27B2F">
        <w:rPr>
          <w:szCs w:val="22"/>
          <w:u w:val="single"/>
        </w:rPr>
        <w:t>Notification Requirements</w:t>
      </w:r>
      <w:r w:rsidRPr="00D27B2F">
        <w:rPr>
          <w:szCs w:val="22"/>
        </w:rPr>
        <w:t xml:space="preserve">:  The owner or operator shall notify the Compliance Authority within one working day of discovering any emissions that demonstrate noncompliance for a given averaging period.  Within one working day of occurrence, the owner or operator shall notify the Compliance Authority of any </w:t>
      </w:r>
      <w:r w:rsidRPr="00D27B2F">
        <w:rPr>
          <w:szCs w:val="22"/>
        </w:rPr>
        <w:lastRenderedPageBreak/>
        <w:t>malfunction resulting in the exclusion of CEMS data.  For malfunctions, notification is sufficient for the owner or operator to exclude CEMS data.</w:t>
      </w:r>
    </w:p>
    <w:p w:rsidR="00D27B2F" w:rsidRPr="00D27B2F" w:rsidRDefault="00D27B2F" w:rsidP="00D27B2F">
      <w:pPr>
        <w:keepNext/>
        <w:spacing w:after="120"/>
        <w:rPr>
          <w:b/>
          <w:caps/>
          <w:szCs w:val="22"/>
        </w:rPr>
      </w:pPr>
      <w:r w:rsidRPr="00D27B2F">
        <w:rPr>
          <w:b/>
          <w:caps/>
          <w:szCs w:val="22"/>
        </w:rPr>
        <w:t>Annual Emissions</w:t>
      </w:r>
    </w:p>
    <w:p w:rsidR="00D27B2F" w:rsidRPr="00D27B2F" w:rsidRDefault="00D27B2F" w:rsidP="00D27B2F">
      <w:pPr>
        <w:numPr>
          <w:ilvl w:val="0"/>
          <w:numId w:val="58"/>
        </w:numPr>
        <w:spacing w:after="120"/>
        <w:rPr>
          <w:szCs w:val="22"/>
        </w:rPr>
      </w:pPr>
      <w:bookmarkStart w:id="2" w:name="OLE_LINK1"/>
      <w:r w:rsidRPr="00D27B2F">
        <w:rPr>
          <w:szCs w:val="22"/>
          <w:u w:val="single"/>
        </w:rPr>
        <w:t>CEMS Used for Calculating Annual Emissions</w:t>
      </w:r>
      <w:r w:rsidRPr="00D27B2F">
        <w:rPr>
          <w:szCs w:val="22"/>
        </w:rPr>
        <w:t>:  All valid data, as defined in Condition 12 of this appendix, shall be used when calculating annual emissions.</w:t>
      </w:r>
    </w:p>
    <w:p w:rsidR="00D27B2F" w:rsidRPr="00D27B2F" w:rsidRDefault="00D27B2F" w:rsidP="00D27B2F">
      <w:pPr>
        <w:numPr>
          <w:ilvl w:val="1"/>
          <w:numId w:val="60"/>
        </w:numPr>
        <w:spacing w:after="120"/>
        <w:rPr>
          <w:szCs w:val="22"/>
        </w:rPr>
      </w:pPr>
      <w:r w:rsidRPr="00D27B2F">
        <w:rPr>
          <w:szCs w:val="22"/>
        </w:rPr>
        <w:t>Annual emissions shall include data collected during startup, shutdown and malfunction periods.</w:t>
      </w:r>
    </w:p>
    <w:p w:rsidR="00D27B2F" w:rsidRPr="00D27B2F" w:rsidRDefault="00D27B2F" w:rsidP="00D27B2F">
      <w:pPr>
        <w:numPr>
          <w:ilvl w:val="1"/>
          <w:numId w:val="60"/>
        </w:numPr>
        <w:spacing w:after="120"/>
        <w:rPr>
          <w:szCs w:val="22"/>
        </w:rPr>
      </w:pPr>
      <w:r w:rsidRPr="00D27B2F">
        <w:rPr>
          <w:szCs w:val="22"/>
        </w:rPr>
        <w:t>Annual emissions shall include data collected during periods when the emission unit is not operating but emissions are being generated (for example, when firing fuel to warm up a process for some period of time prior to the emission unit’s startup).</w:t>
      </w:r>
    </w:p>
    <w:p w:rsidR="00D27B2F" w:rsidRPr="00D27B2F" w:rsidRDefault="00D27B2F" w:rsidP="00D27B2F">
      <w:pPr>
        <w:numPr>
          <w:ilvl w:val="1"/>
          <w:numId w:val="60"/>
        </w:numPr>
        <w:spacing w:after="120"/>
        <w:rPr>
          <w:szCs w:val="22"/>
        </w:rPr>
      </w:pPr>
      <w:r w:rsidRPr="00D27B2F">
        <w:rPr>
          <w:szCs w:val="22"/>
        </w:rPr>
        <w:t>Annual emissions shall not include data from periods of time where the monitor was functioning properly but was unable to collect data while conducting a mandated quality assurance/quality control activity such as calibration error tests, RATA, calibration gas audit or RAA.</w:t>
      </w:r>
      <w:bookmarkEnd w:id="2"/>
      <w:r w:rsidRPr="00D27B2F">
        <w:rPr>
          <w:szCs w:val="22"/>
        </w:rPr>
        <w:t xml:space="preserve">  These periods of time shall be considered missing data for purposes of calculating annual emissions.</w:t>
      </w:r>
    </w:p>
    <w:p w:rsidR="00D27B2F" w:rsidRPr="00D27B2F" w:rsidRDefault="00D27B2F" w:rsidP="00D27B2F">
      <w:pPr>
        <w:numPr>
          <w:ilvl w:val="1"/>
          <w:numId w:val="60"/>
        </w:numPr>
        <w:spacing w:after="120"/>
        <w:rPr>
          <w:szCs w:val="22"/>
        </w:rPr>
      </w:pPr>
      <w:r w:rsidRPr="00D27B2F">
        <w:rPr>
          <w:szCs w:val="22"/>
        </w:rPr>
        <w:t>Annual emissions shall not include data from periods of time when emissions are in excess of the calibrated span of the CEMS.  These periods of time shall be considered missing data for purposes of calculating annual emissions.</w:t>
      </w:r>
    </w:p>
    <w:p w:rsidR="00D27B2F" w:rsidRPr="00D27B2F" w:rsidRDefault="00D27B2F" w:rsidP="00D27B2F">
      <w:pPr>
        <w:numPr>
          <w:ilvl w:val="0"/>
          <w:numId w:val="58"/>
        </w:numPr>
        <w:spacing w:after="120"/>
        <w:rPr>
          <w:szCs w:val="22"/>
        </w:rPr>
      </w:pPr>
      <w:r w:rsidRPr="00D27B2F">
        <w:rPr>
          <w:szCs w:val="22"/>
          <w:u w:val="single"/>
        </w:rPr>
        <w:t>Accounting for Missing Data</w:t>
      </w:r>
      <w:r w:rsidRPr="00D27B2F">
        <w:rPr>
          <w:szCs w:val="22"/>
        </w:rPr>
        <w:t>:  All valid measurements collected during each hour shall be used to calculate a 1-hour block average.  For each hour, the 1-hour block average shall be computed from at least two data points separated by a minimum of 15 minutes.  If less than two such data points are available, the owner or operator shall account for emissions during that hour using site-specific data to generate a reasonable estimate of the 1-hour block average.</w:t>
      </w:r>
    </w:p>
    <w:p w:rsidR="00922A3E" w:rsidRPr="00DD68D1" w:rsidRDefault="00D27B2F" w:rsidP="006E77EB">
      <w:pPr>
        <w:pStyle w:val="BodyText"/>
        <w:widowControl w:val="0"/>
        <w:spacing w:after="60"/>
        <w:ind w:left="360"/>
        <w:rPr>
          <w:bCs/>
          <w:iCs/>
          <w:sz w:val="20"/>
        </w:rPr>
      </w:pPr>
      <w:r w:rsidRPr="00D27B2F">
        <w:rPr>
          <w:szCs w:val="22"/>
          <w:u w:val="single"/>
        </w:rPr>
        <w:t>Emissions Calculation</w:t>
      </w:r>
      <w:r w:rsidRPr="00D27B2F">
        <w:rPr>
          <w:szCs w:val="22"/>
        </w:rPr>
        <w:t>:  Hourly emissions shall be calculated for each hour as the product of the 1</w:t>
      </w:r>
      <w:r w:rsidRPr="00D27B2F">
        <w:rPr>
          <w:szCs w:val="22"/>
        </w:rPr>
        <w:noBreakHyphen/>
        <w:t>hour block average and the duration of pollutant emissions during that hour.  Annual emissions shall be calculated as the sum of all hourly emissions occurring during the year.</w:t>
      </w:r>
    </w:p>
    <w:p w:rsidR="00CD6AAF" w:rsidRDefault="00CD6AAF" w:rsidP="004554B1">
      <w:pPr>
        <w:pStyle w:val="Header"/>
        <w:tabs>
          <w:tab w:val="clear" w:pos="4320"/>
          <w:tab w:val="clear" w:pos="8640"/>
        </w:tabs>
        <w:spacing w:after="120"/>
        <w:jc w:val="center"/>
        <w:rPr>
          <w:b/>
          <w:smallCaps/>
          <w:szCs w:val="22"/>
        </w:rPr>
        <w:sectPr w:rsidR="00CD6AAF" w:rsidSect="00911769">
          <w:headerReference w:type="even" r:id="rId14"/>
          <w:headerReference w:type="default" r:id="rId15"/>
          <w:footerReference w:type="default" r:id="rId16"/>
          <w:headerReference w:type="first" r:id="rId17"/>
          <w:pgSz w:w="12240" w:h="15840" w:code="1"/>
          <w:pgMar w:top="720" w:right="1152" w:bottom="720" w:left="1152" w:header="720" w:footer="446" w:gutter="0"/>
          <w:paperSrc w:first="16640" w:other="16640"/>
          <w:pgNumType w:start="1"/>
          <w:cols w:space="720"/>
        </w:sectPr>
      </w:pPr>
    </w:p>
    <w:p w:rsidR="00383006" w:rsidRPr="00421C07" w:rsidRDefault="00383006" w:rsidP="00A121FA">
      <w:pPr>
        <w:spacing w:after="120"/>
        <w:rPr>
          <w:b/>
          <w:caps/>
          <w:szCs w:val="22"/>
        </w:rPr>
      </w:pPr>
      <w:r w:rsidRPr="00421C07">
        <w:rPr>
          <w:b/>
          <w:caps/>
          <w:szCs w:val="22"/>
        </w:rPr>
        <w:lastRenderedPageBreak/>
        <w:t>Citation</w:t>
      </w:r>
      <w:r w:rsidR="006C3405" w:rsidRPr="00421C07">
        <w:rPr>
          <w:b/>
          <w:caps/>
          <w:szCs w:val="22"/>
        </w:rPr>
        <w:t xml:space="preserve"> </w:t>
      </w:r>
      <w:r w:rsidRPr="00421C07">
        <w:rPr>
          <w:b/>
          <w:caps/>
          <w:szCs w:val="22"/>
        </w:rPr>
        <w:t>Formats</w:t>
      </w:r>
    </w:p>
    <w:p w:rsidR="00383006" w:rsidRPr="00383006" w:rsidRDefault="00383006" w:rsidP="00383006">
      <w:pPr>
        <w:spacing w:after="120"/>
        <w:jc w:val="both"/>
        <w:rPr>
          <w:szCs w:val="22"/>
        </w:rPr>
      </w:pPr>
      <w:r w:rsidRPr="00383006">
        <w:rPr>
          <w:szCs w:val="22"/>
        </w:rPr>
        <w:t>The</w:t>
      </w:r>
      <w:r w:rsidR="006C3405">
        <w:rPr>
          <w:szCs w:val="22"/>
        </w:rPr>
        <w:t xml:space="preserve"> </w:t>
      </w:r>
      <w:r w:rsidRPr="00383006">
        <w:rPr>
          <w:szCs w:val="22"/>
        </w:rPr>
        <w:t>following</w:t>
      </w:r>
      <w:r w:rsidR="006C3405">
        <w:rPr>
          <w:szCs w:val="22"/>
        </w:rPr>
        <w:t xml:space="preserve"> </w:t>
      </w:r>
      <w:r w:rsidRPr="00383006">
        <w:rPr>
          <w:szCs w:val="22"/>
        </w:rPr>
        <w:t>illustrate</w:t>
      </w:r>
      <w:r w:rsidR="006C3405">
        <w:rPr>
          <w:szCs w:val="22"/>
        </w:rPr>
        <w:t xml:space="preserve"> </w:t>
      </w:r>
      <w:r w:rsidRPr="00383006">
        <w:rPr>
          <w:szCs w:val="22"/>
        </w:rPr>
        <w:t>the</w:t>
      </w:r>
      <w:r w:rsidR="006C3405">
        <w:rPr>
          <w:szCs w:val="22"/>
        </w:rPr>
        <w:t xml:space="preserve"> </w:t>
      </w:r>
      <w:r w:rsidRPr="00383006">
        <w:rPr>
          <w:szCs w:val="22"/>
        </w:rPr>
        <w:t>formats</w:t>
      </w:r>
      <w:r w:rsidR="006C3405">
        <w:rPr>
          <w:szCs w:val="22"/>
        </w:rPr>
        <w:t xml:space="preserve"> </w:t>
      </w:r>
      <w:r w:rsidRPr="00383006">
        <w:rPr>
          <w:szCs w:val="22"/>
        </w:rPr>
        <w:t>used</w:t>
      </w:r>
      <w:r w:rsidR="006C3405">
        <w:rPr>
          <w:szCs w:val="22"/>
        </w:rPr>
        <w:t xml:space="preserve"> </w:t>
      </w:r>
      <w:r w:rsidRPr="00383006">
        <w:rPr>
          <w:szCs w:val="22"/>
        </w:rPr>
        <w:t>in</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to</w:t>
      </w:r>
      <w:r w:rsidR="006C3405">
        <w:rPr>
          <w:szCs w:val="22"/>
        </w:rPr>
        <w:t xml:space="preserve"> </w:t>
      </w:r>
      <w:r w:rsidRPr="00383006">
        <w:rPr>
          <w:szCs w:val="22"/>
        </w:rPr>
        <w:t>identify</w:t>
      </w:r>
      <w:r w:rsidR="006C3405">
        <w:rPr>
          <w:szCs w:val="22"/>
        </w:rPr>
        <w:t xml:space="preserve"> </w:t>
      </w:r>
      <w:r w:rsidRPr="00383006">
        <w:rPr>
          <w:szCs w:val="22"/>
        </w:rPr>
        <w:t>applicable</w:t>
      </w:r>
      <w:r w:rsidR="006C3405">
        <w:rPr>
          <w:szCs w:val="22"/>
        </w:rPr>
        <w:t xml:space="preserve"> </w:t>
      </w:r>
      <w:r w:rsidRPr="00383006">
        <w:rPr>
          <w:szCs w:val="22"/>
        </w:rPr>
        <w:t>requirements</w:t>
      </w:r>
      <w:r w:rsidR="006C3405">
        <w:rPr>
          <w:szCs w:val="22"/>
        </w:rPr>
        <w:t xml:space="preserve"> </w:t>
      </w:r>
      <w:r w:rsidRPr="00383006">
        <w:rPr>
          <w:szCs w:val="22"/>
        </w:rPr>
        <w:t>from</w:t>
      </w:r>
      <w:r w:rsidR="006C3405">
        <w:rPr>
          <w:szCs w:val="22"/>
        </w:rPr>
        <w:t xml:space="preserve"> </w:t>
      </w:r>
      <w:r w:rsidRPr="00383006">
        <w:rPr>
          <w:szCs w:val="22"/>
        </w:rPr>
        <w:t>permits</w:t>
      </w:r>
      <w:r w:rsidR="006C3405">
        <w:rPr>
          <w:szCs w:val="22"/>
        </w:rPr>
        <w:t xml:space="preserve"> </w:t>
      </w:r>
      <w:r w:rsidRPr="00383006">
        <w:rPr>
          <w:szCs w:val="22"/>
        </w:rPr>
        <w:t>and</w:t>
      </w:r>
      <w:r w:rsidR="006C3405">
        <w:rPr>
          <w:szCs w:val="22"/>
        </w:rPr>
        <w:t xml:space="preserve"> </w:t>
      </w:r>
      <w:r w:rsidRPr="00383006">
        <w:rPr>
          <w:szCs w:val="22"/>
        </w:rPr>
        <w:t>regulations.</w:t>
      </w:r>
    </w:p>
    <w:p w:rsidR="00383006" w:rsidRPr="00383006" w:rsidRDefault="00383006" w:rsidP="00383006">
      <w:pPr>
        <w:spacing w:after="120"/>
        <w:jc w:val="both"/>
        <w:rPr>
          <w:b/>
          <w:szCs w:val="22"/>
        </w:rPr>
      </w:pPr>
      <w:r w:rsidRPr="00383006">
        <w:rPr>
          <w:b/>
          <w:szCs w:val="22"/>
        </w:rPr>
        <w:t>Old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i/>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proofErr w:type="gramStart"/>
      <w:r w:rsidRPr="00383006">
        <w:rPr>
          <w:szCs w:val="22"/>
        </w:rPr>
        <w:t>AC50-123456</w:t>
      </w:r>
      <w:r w:rsidR="006C3405">
        <w:rPr>
          <w:szCs w:val="22"/>
        </w:rPr>
        <w:t xml:space="preserve"> </w:t>
      </w:r>
      <w:r w:rsidRPr="00383006">
        <w:rPr>
          <w:szCs w:val="22"/>
        </w:rPr>
        <w:t>or</w:t>
      </w:r>
      <w:r w:rsidR="006C3405">
        <w:rPr>
          <w:szCs w:val="22"/>
        </w:rPr>
        <w:t xml:space="preserve"> </w:t>
      </w:r>
      <w:r w:rsidRPr="00383006">
        <w:rPr>
          <w:szCs w:val="22"/>
        </w:rPr>
        <w:t>Permit</w:t>
      </w:r>
      <w:r w:rsidR="006C3405">
        <w:rPr>
          <w:szCs w:val="22"/>
        </w:rPr>
        <w:t xml:space="preserve"> </w:t>
      </w:r>
      <w:r w:rsidRPr="00383006">
        <w:rPr>
          <w:szCs w:val="22"/>
        </w:rPr>
        <w:t>No.</w:t>
      </w:r>
      <w:proofErr w:type="gramEnd"/>
      <w:r w:rsidR="006C3405">
        <w:rPr>
          <w:szCs w:val="22"/>
        </w:rPr>
        <w:t xml:space="preserve"> </w:t>
      </w:r>
      <w:r w:rsidRPr="00383006">
        <w:rPr>
          <w:szCs w:val="22"/>
        </w:rPr>
        <w:t>AO50-123456</w:t>
      </w:r>
    </w:p>
    <w:p w:rsidR="00383006" w:rsidRPr="00383006" w:rsidRDefault="00383006" w:rsidP="00383006">
      <w:pPr>
        <w:tabs>
          <w:tab w:val="left" w:pos="1080"/>
        </w:tabs>
        <w:spacing w:after="60"/>
        <w:jc w:val="both"/>
        <w:rPr>
          <w:i/>
          <w:szCs w:val="22"/>
        </w:rPr>
      </w:pPr>
      <w:r w:rsidRPr="00383006">
        <w:rPr>
          <w:szCs w:val="22"/>
          <w:u w:val="single"/>
        </w:rPr>
        <w:t>Where</w:t>
      </w:r>
      <w:r w:rsidRPr="00383006">
        <w:rPr>
          <w:i/>
          <w:szCs w:val="22"/>
        </w:rPr>
        <w:t>:</w:t>
      </w:r>
      <w:r w:rsidRPr="00383006">
        <w:rPr>
          <w:i/>
          <w:szCs w:val="22"/>
        </w:rPr>
        <w:tab/>
      </w:r>
      <w:r w:rsidRPr="00383006">
        <w:rPr>
          <w:iCs/>
          <w:szCs w:val="22"/>
        </w:rPr>
        <w:t>“</w:t>
      </w: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60"/>
        <w:ind w:left="1080"/>
        <w:jc w:val="both"/>
        <w:rPr>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584" w:hanging="504"/>
        <w:jc w:val="both"/>
        <w:rPr>
          <w:szCs w:val="22"/>
        </w:rPr>
      </w:pPr>
      <w:r w:rsidRPr="00383006">
        <w:rPr>
          <w:szCs w:val="22"/>
        </w:rPr>
        <w:t>“123456”</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before="120" w:after="120"/>
        <w:jc w:val="both"/>
        <w:rPr>
          <w:b/>
          <w:szCs w:val="22"/>
        </w:rPr>
      </w:pPr>
      <w:r w:rsidRPr="00383006">
        <w:rPr>
          <w:b/>
          <w:szCs w:val="22"/>
        </w:rPr>
        <w:t>New</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Nos.</w:t>
      </w:r>
      <w:r w:rsidR="006C3405">
        <w:rPr>
          <w:szCs w:val="22"/>
        </w:rPr>
        <w:t xml:space="preserve"> </w:t>
      </w:r>
      <w:r w:rsidRPr="00383006">
        <w:rPr>
          <w:szCs w:val="22"/>
        </w:rPr>
        <w:t>099-2222-001-AC,</w:t>
      </w:r>
      <w:r w:rsidR="006C3405">
        <w:rPr>
          <w:szCs w:val="22"/>
        </w:rPr>
        <w:t xml:space="preserve"> </w:t>
      </w:r>
      <w:r w:rsidRPr="00383006">
        <w:rPr>
          <w:szCs w:val="22"/>
        </w:rPr>
        <w:t>099-2222-001-AF,</w:t>
      </w:r>
      <w:r w:rsidR="006C3405">
        <w:rPr>
          <w:szCs w:val="22"/>
        </w:rPr>
        <w:t xml:space="preserve"> </w:t>
      </w:r>
      <w:r w:rsidRPr="00383006">
        <w:rPr>
          <w:szCs w:val="22"/>
        </w:rPr>
        <w:t>099-2222-001-AO,</w:t>
      </w:r>
      <w:r w:rsidR="006C3405">
        <w:rPr>
          <w:szCs w:val="22"/>
        </w:rPr>
        <w:t xml:space="preserve"> </w:t>
      </w:r>
      <w:r w:rsidRPr="00383006">
        <w:rPr>
          <w:szCs w:val="22"/>
        </w:rPr>
        <w:t>or</w:t>
      </w:r>
      <w:r w:rsidR="006C3405">
        <w:rPr>
          <w:szCs w:val="22"/>
        </w:rPr>
        <w:t xml:space="preserve"> </w:t>
      </w:r>
      <w:r w:rsidRPr="00383006">
        <w:rPr>
          <w:szCs w:val="22"/>
        </w:rPr>
        <w:t>099-2222-001-AV</w:t>
      </w:r>
    </w:p>
    <w:p w:rsidR="00383006" w:rsidRPr="00383006" w:rsidRDefault="00383006" w:rsidP="00383006">
      <w:pPr>
        <w:tabs>
          <w:tab w:val="left" w:pos="1080"/>
        </w:tabs>
        <w:spacing w:after="120"/>
        <w:jc w:val="both"/>
        <w:rPr>
          <w:i/>
          <w:szCs w:val="22"/>
        </w:rPr>
      </w:pPr>
      <w:r w:rsidRPr="00383006">
        <w:rPr>
          <w:szCs w:val="22"/>
          <w:u w:val="single"/>
        </w:rPr>
        <w:t>Where</w:t>
      </w:r>
      <w:r w:rsidRPr="00383006">
        <w:rPr>
          <w:szCs w:val="22"/>
        </w:rPr>
        <w:t>:</w:t>
      </w:r>
      <w:r w:rsidRPr="00383006">
        <w:rPr>
          <w:szCs w:val="22"/>
        </w:rPr>
        <w:tab/>
        <w:t>“099”</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county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in</w:t>
      </w:r>
      <w:r w:rsidR="006C3405">
        <w:rPr>
          <w:szCs w:val="22"/>
        </w:rPr>
        <w:t xml:space="preserve"> </w:t>
      </w:r>
      <w:r w:rsidRPr="00383006">
        <w:rPr>
          <w:szCs w:val="22"/>
        </w:rPr>
        <w:t>which</w:t>
      </w:r>
      <w:r w:rsidR="006C3405">
        <w:rPr>
          <w:szCs w:val="22"/>
        </w:rPr>
        <w:t xml:space="preserve"> </w:t>
      </w:r>
      <w:r w:rsidRPr="00383006">
        <w:rPr>
          <w:szCs w:val="22"/>
        </w:rPr>
        <w:t>the</w:t>
      </w:r>
      <w:r w:rsidR="006C3405">
        <w:rPr>
          <w:szCs w:val="22"/>
        </w:rPr>
        <w:t xml:space="preserve"> </w:t>
      </w:r>
      <w:r w:rsidRPr="00383006">
        <w:rPr>
          <w:szCs w:val="22"/>
        </w:rPr>
        <w:t>project</w:t>
      </w:r>
      <w:r w:rsidR="006C3405">
        <w:rPr>
          <w:szCs w:val="22"/>
        </w:rPr>
        <w:t xml:space="preserve"> </w:t>
      </w:r>
      <w:r w:rsidRPr="00383006">
        <w:rPr>
          <w:szCs w:val="22"/>
        </w:rPr>
        <w:t>is</w:t>
      </w:r>
      <w:r w:rsidR="006C3405">
        <w:rPr>
          <w:szCs w:val="22"/>
        </w:rPr>
        <w:t xml:space="preserve"> </w:t>
      </w:r>
      <w:r w:rsidRPr="00383006">
        <w:rPr>
          <w:szCs w:val="22"/>
        </w:rPr>
        <w:t>located</w:t>
      </w:r>
    </w:p>
    <w:p w:rsidR="00383006" w:rsidRPr="00383006" w:rsidRDefault="00383006" w:rsidP="00383006">
      <w:pPr>
        <w:spacing w:after="120"/>
        <w:ind w:left="1080"/>
        <w:jc w:val="both"/>
        <w:rPr>
          <w:szCs w:val="22"/>
        </w:rPr>
      </w:pPr>
      <w:r w:rsidRPr="00383006">
        <w:rPr>
          <w:szCs w:val="22"/>
        </w:rPr>
        <w:t>“2222”</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facility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for</w:t>
      </w:r>
      <w:r w:rsidR="006C3405">
        <w:rPr>
          <w:szCs w:val="22"/>
        </w:rPr>
        <w:t xml:space="preserve"> </w:t>
      </w:r>
      <w:r w:rsidRPr="00383006">
        <w:rPr>
          <w:szCs w:val="22"/>
        </w:rPr>
        <w:t>that</w:t>
      </w:r>
      <w:r w:rsidR="006C3405">
        <w:rPr>
          <w:szCs w:val="22"/>
        </w:rPr>
        <w:t xml:space="preserve"> </w:t>
      </w:r>
      <w:r w:rsidRPr="00383006">
        <w:rPr>
          <w:szCs w:val="22"/>
        </w:rPr>
        <w:t>county</w:t>
      </w:r>
    </w:p>
    <w:p w:rsidR="00383006" w:rsidRPr="00383006" w:rsidRDefault="00383006" w:rsidP="00383006">
      <w:pPr>
        <w:spacing w:after="120"/>
        <w:ind w:left="1080"/>
        <w:jc w:val="both"/>
        <w:rPr>
          <w:szCs w:val="22"/>
        </w:rPr>
      </w:pPr>
      <w:r w:rsidRPr="00383006">
        <w:rPr>
          <w:szCs w:val="22"/>
        </w:rPr>
        <w:t>“001”identifies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ind w:left="1080"/>
        <w:jc w:val="both"/>
        <w:rPr>
          <w:i/>
          <w:szCs w:val="22"/>
        </w:rPr>
      </w:pP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“AF”</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federally</w:t>
      </w:r>
      <w:r w:rsidR="006C3405">
        <w:rPr>
          <w:szCs w:val="22"/>
        </w:rPr>
        <w:t xml:space="preserve"> </w:t>
      </w:r>
      <w:r w:rsidRPr="00383006">
        <w:rPr>
          <w:szCs w:val="22"/>
        </w:rPr>
        <w:t>enforceable</w:t>
      </w:r>
      <w:r w:rsidR="006C3405">
        <w:rPr>
          <w:szCs w:val="22"/>
        </w:rPr>
        <w:t xml:space="preserve"> </w:t>
      </w:r>
      <w:r w:rsidRPr="00383006">
        <w:rPr>
          <w:szCs w:val="22"/>
        </w:rPr>
        <w:t>state</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szCs w:val="22"/>
        </w:rPr>
      </w:pPr>
      <w:r w:rsidRPr="00383006">
        <w:rPr>
          <w:szCs w:val="22"/>
        </w:rPr>
        <w:t>“AV”</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major</w:t>
      </w:r>
      <w:r w:rsidR="006C3405">
        <w:rPr>
          <w:szCs w:val="22"/>
        </w:rPr>
        <w:t xml:space="preserve"> </w:t>
      </w:r>
      <w:r w:rsidRPr="00383006">
        <w:rPr>
          <w:szCs w:val="22"/>
        </w:rPr>
        <w:t>Title</w:t>
      </w:r>
      <w:r w:rsidR="006C3405">
        <w:rPr>
          <w:szCs w:val="22"/>
        </w:rPr>
        <w:t xml:space="preserve"> </w:t>
      </w:r>
      <w:r w:rsidRPr="00383006">
        <w:rPr>
          <w:szCs w:val="22"/>
        </w:rPr>
        <w:t>V</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before="120" w:after="120"/>
        <w:jc w:val="both"/>
        <w:rPr>
          <w:b/>
          <w:szCs w:val="22"/>
        </w:rPr>
      </w:pPr>
      <w:r w:rsidRPr="00383006">
        <w:rPr>
          <w:b/>
          <w:szCs w:val="22"/>
        </w:rPr>
        <w:t>PSD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PSD-FL-317</w:t>
      </w:r>
    </w:p>
    <w:p w:rsidR="00383006" w:rsidRPr="00383006" w:rsidRDefault="00383006" w:rsidP="00383006">
      <w:pPr>
        <w:spacing w:after="120"/>
        <w:ind w:left="1080" w:hanging="1080"/>
        <w:jc w:val="both"/>
        <w:rPr>
          <w:i/>
          <w:szCs w:val="22"/>
        </w:rPr>
      </w:pPr>
      <w:r w:rsidRPr="00383006">
        <w:rPr>
          <w:szCs w:val="22"/>
          <w:u w:val="single"/>
        </w:rPr>
        <w:t>Where</w:t>
      </w:r>
      <w:r w:rsidRPr="00383006">
        <w:rPr>
          <w:szCs w:val="22"/>
        </w:rPr>
        <w:t>:</w:t>
      </w:r>
      <w:r w:rsidRPr="00383006">
        <w:rPr>
          <w:szCs w:val="22"/>
        </w:rPr>
        <w:tab/>
        <w:t>“PSD”</w:t>
      </w:r>
      <w:r w:rsidR="006C3405">
        <w:rPr>
          <w:szCs w:val="22"/>
        </w:rPr>
        <w:t xml:space="preserve"> </w:t>
      </w:r>
      <w:r w:rsidRPr="00383006">
        <w:rPr>
          <w:szCs w:val="22"/>
        </w:rPr>
        <w:t>means</w:t>
      </w:r>
      <w:r w:rsidR="006C3405">
        <w:rPr>
          <w:szCs w:val="22"/>
        </w:rPr>
        <w:t xml:space="preserve"> </w:t>
      </w:r>
      <w:r w:rsidRPr="00383006">
        <w:rPr>
          <w:szCs w:val="22"/>
        </w:rPr>
        <w:t>issued</w:t>
      </w:r>
      <w:r w:rsidR="006C3405">
        <w:rPr>
          <w:szCs w:val="22"/>
        </w:rPr>
        <w:t xml:space="preserve"> </w:t>
      </w:r>
      <w:r w:rsidRPr="00383006">
        <w:rPr>
          <w:szCs w:val="22"/>
        </w:rPr>
        <w:t>pursuant</w:t>
      </w:r>
      <w:r w:rsidR="006C3405">
        <w:rPr>
          <w:szCs w:val="22"/>
        </w:rPr>
        <w:t xml:space="preserve"> </w:t>
      </w:r>
      <w:r w:rsidRPr="00383006">
        <w:rPr>
          <w:szCs w:val="22"/>
        </w:rPr>
        <w:t>to</w:t>
      </w:r>
      <w:r w:rsidR="006C3405">
        <w:rPr>
          <w:szCs w:val="22"/>
        </w:rPr>
        <w:t xml:space="preserve"> </w:t>
      </w:r>
      <w:r w:rsidRPr="00383006">
        <w:rPr>
          <w:szCs w:val="22"/>
        </w:rPr>
        <w:t>the</w:t>
      </w:r>
      <w:r w:rsidR="006C3405">
        <w:rPr>
          <w:szCs w:val="22"/>
        </w:rPr>
        <w:t xml:space="preserve"> </w:t>
      </w:r>
      <w:r w:rsidRPr="00383006">
        <w:rPr>
          <w:szCs w:val="22"/>
        </w:rPr>
        <w:t>preconstruction</w:t>
      </w:r>
      <w:r w:rsidR="006C3405">
        <w:rPr>
          <w:szCs w:val="22"/>
        </w:rPr>
        <w:t xml:space="preserve"> </w:t>
      </w:r>
      <w:r w:rsidRPr="00383006">
        <w:rPr>
          <w:szCs w:val="22"/>
        </w:rPr>
        <w:t>review</w:t>
      </w:r>
      <w:r w:rsidR="006C3405">
        <w:rPr>
          <w:szCs w:val="22"/>
        </w:rPr>
        <w:t xml:space="preserve"> </w:t>
      </w:r>
      <w:r w:rsidRPr="00383006">
        <w:rPr>
          <w:szCs w:val="22"/>
        </w:rPr>
        <w:t>requirements</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Significant</w:t>
      </w:r>
      <w:r w:rsidR="006C3405">
        <w:rPr>
          <w:szCs w:val="22"/>
        </w:rPr>
        <w:t xml:space="preserve"> </w:t>
      </w:r>
      <w:r w:rsidRPr="00383006">
        <w:rPr>
          <w:szCs w:val="22"/>
        </w:rPr>
        <w:t>Deterioration</w:t>
      </w:r>
      <w:r w:rsidR="006C3405">
        <w:rPr>
          <w:szCs w:val="22"/>
        </w:rPr>
        <w:t xml:space="preserve"> </w:t>
      </w:r>
      <w:r w:rsidRPr="00383006">
        <w:rPr>
          <w:szCs w:val="22"/>
        </w:rPr>
        <w:t>of</w:t>
      </w:r>
      <w:r w:rsidR="006C3405">
        <w:rPr>
          <w:szCs w:val="22"/>
        </w:rPr>
        <w:t xml:space="preserve"> </w:t>
      </w:r>
      <w:r w:rsidRPr="00383006">
        <w:rPr>
          <w:szCs w:val="22"/>
        </w:rPr>
        <w:t>Air</w:t>
      </w:r>
      <w:r w:rsidR="006C3405">
        <w:rPr>
          <w:szCs w:val="22"/>
        </w:rPr>
        <w:t xml:space="preserve"> </w:t>
      </w:r>
      <w:r w:rsidRPr="00383006">
        <w:rPr>
          <w:szCs w:val="22"/>
        </w:rPr>
        <w:t>Quality</w:t>
      </w:r>
    </w:p>
    <w:p w:rsidR="00383006" w:rsidRPr="00383006" w:rsidRDefault="00383006" w:rsidP="00383006">
      <w:pPr>
        <w:spacing w:after="120"/>
        <w:ind w:left="1080"/>
        <w:jc w:val="both"/>
        <w:rPr>
          <w:szCs w:val="22"/>
        </w:rPr>
      </w:pPr>
      <w:r w:rsidRPr="00383006">
        <w:rPr>
          <w:szCs w:val="22"/>
        </w:rPr>
        <w:t>“FL”</w:t>
      </w:r>
      <w:r w:rsidR="006C3405">
        <w:rPr>
          <w:szCs w:val="22"/>
        </w:rPr>
        <w:t xml:space="preserve"> </w:t>
      </w:r>
      <w:r w:rsidRPr="00383006">
        <w:rPr>
          <w:szCs w:val="22"/>
        </w:rPr>
        <w:t>means</w:t>
      </w:r>
      <w:r w:rsidR="006C3405">
        <w:rPr>
          <w:szCs w:val="22"/>
        </w:rPr>
        <w:t xml:space="preserve"> </w:t>
      </w:r>
      <w:r w:rsidRPr="00383006">
        <w:rPr>
          <w:szCs w:val="22"/>
        </w:rPr>
        <w:t>that</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was</w:t>
      </w:r>
      <w:r w:rsidR="006C3405">
        <w:rPr>
          <w:szCs w:val="22"/>
        </w:rPr>
        <w:t xml:space="preserve"> </w:t>
      </w:r>
      <w:r w:rsidRPr="00383006">
        <w:rPr>
          <w:szCs w:val="22"/>
        </w:rPr>
        <w:t>issued</w:t>
      </w:r>
      <w:r w:rsidR="006C3405">
        <w:rPr>
          <w:szCs w:val="22"/>
        </w:rPr>
        <w:t xml:space="preserve"> </w:t>
      </w:r>
      <w:r w:rsidRPr="00383006">
        <w:rPr>
          <w:szCs w:val="22"/>
        </w:rPr>
        <w:t>by</w:t>
      </w:r>
      <w:r w:rsidR="006C3405">
        <w:rPr>
          <w:szCs w:val="22"/>
        </w:rPr>
        <w:t xml:space="preserve"> </w:t>
      </w:r>
      <w:r w:rsidRPr="00383006">
        <w:rPr>
          <w:szCs w:val="22"/>
        </w:rPr>
        <w:t>the</w:t>
      </w:r>
      <w:r w:rsidR="006C3405">
        <w:rPr>
          <w:szCs w:val="22"/>
        </w:rPr>
        <w:t xml:space="preserve"> </w:t>
      </w:r>
      <w:r w:rsidRPr="00383006">
        <w:rPr>
          <w:szCs w:val="22"/>
        </w:rPr>
        <w:t>State</w:t>
      </w:r>
      <w:r w:rsidR="006C3405">
        <w:rPr>
          <w:szCs w:val="22"/>
        </w:rPr>
        <w:t xml:space="preserve"> </w:t>
      </w:r>
      <w:r w:rsidRPr="00383006">
        <w:rPr>
          <w:szCs w:val="22"/>
        </w:rPr>
        <w:t>of</w:t>
      </w:r>
      <w:r w:rsidR="006C3405">
        <w:rPr>
          <w:szCs w:val="22"/>
        </w:rPr>
        <w:t xml:space="preserve"> </w:t>
      </w:r>
      <w:r w:rsidRPr="00383006">
        <w:rPr>
          <w:szCs w:val="22"/>
        </w:rPr>
        <w:t>Florida</w:t>
      </w:r>
    </w:p>
    <w:p w:rsidR="00383006" w:rsidRPr="00383006" w:rsidRDefault="00383006" w:rsidP="00383006">
      <w:pPr>
        <w:spacing w:after="120"/>
        <w:ind w:left="1080"/>
        <w:jc w:val="both"/>
        <w:rPr>
          <w:szCs w:val="22"/>
        </w:rPr>
      </w:pPr>
      <w:r w:rsidRPr="00383006">
        <w:rPr>
          <w:szCs w:val="22"/>
        </w:rPr>
        <w:t>“317”</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jc w:val="both"/>
        <w:rPr>
          <w:b/>
          <w:szCs w:val="22"/>
          <w:lang w:val="pt-BR"/>
        </w:rPr>
      </w:pPr>
      <w:r w:rsidRPr="00383006">
        <w:rPr>
          <w:b/>
          <w:szCs w:val="22"/>
          <w:lang w:val="pt-BR"/>
        </w:rPr>
        <w:t>Florida</w:t>
      </w:r>
      <w:r w:rsidR="006C3405">
        <w:rPr>
          <w:b/>
          <w:szCs w:val="22"/>
          <w:lang w:val="pt-BR"/>
        </w:rPr>
        <w:t xml:space="preserve"> </w:t>
      </w:r>
      <w:r w:rsidRPr="00383006">
        <w:rPr>
          <w:b/>
          <w:szCs w:val="22"/>
          <w:lang w:val="pt-BR"/>
        </w:rPr>
        <w:t>Administrative</w:t>
      </w:r>
      <w:r w:rsidR="006C3405">
        <w:rPr>
          <w:b/>
          <w:szCs w:val="22"/>
          <w:lang w:val="pt-BR"/>
        </w:rPr>
        <w:t xml:space="preserve"> </w:t>
      </w:r>
      <w:r w:rsidRPr="00383006">
        <w:rPr>
          <w:b/>
          <w:szCs w:val="22"/>
          <w:lang w:val="pt-BR"/>
        </w:rPr>
        <w:t>Code</w:t>
      </w:r>
      <w:r w:rsidR="006C3405">
        <w:rPr>
          <w:b/>
          <w:szCs w:val="22"/>
          <w:lang w:val="pt-BR"/>
        </w:rPr>
        <w:t xml:space="preserve"> </w:t>
      </w:r>
      <w:r w:rsidRPr="00383006">
        <w:rPr>
          <w:b/>
          <w:szCs w:val="22"/>
          <w:lang w:val="pt-BR"/>
        </w:rPr>
        <w:t>(F.A.C.)</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[Rule</w:t>
      </w:r>
      <w:r w:rsidR="006C3405">
        <w:rPr>
          <w:szCs w:val="22"/>
        </w:rPr>
        <w:t xml:space="preserve"> </w:t>
      </w:r>
      <w:r w:rsidRPr="00383006">
        <w:rPr>
          <w:szCs w:val="22"/>
        </w:rPr>
        <w:t>62-213.205,</w:t>
      </w:r>
      <w:r w:rsidR="006C3405">
        <w:rPr>
          <w:szCs w:val="22"/>
        </w:rPr>
        <w:t xml:space="preserve"> </w:t>
      </w:r>
      <w:r w:rsidRPr="00383006">
        <w:rPr>
          <w:szCs w:val="22"/>
        </w:rPr>
        <w:t>F.A.C.]</w:t>
      </w:r>
    </w:p>
    <w:p w:rsidR="00383006" w:rsidRPr="00383006" w:rsidRDefault="00383006" w:rsidP="00383006">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62,</w:t>
      </w:r>
      <w:r w:rsidR="006C3405">
        <w:rPr>
          <w:szCs w:val="22"/>
        </w:rPr>
        <w:t xml:space="preserve"> </w:t>
      </w:r>
      <w:r w:rsidRPr="00383006">
        <w:rPr>
          <w:szCs w:val="22"/>
        </w:rPr>
        <w:t>Chapter</w:t>
      </w:r>
      <w:r w:rsidR="006C3405">
        <w:rPr>
          <w:szCs w:val="22"/>
        </w:rPr>
        <w:t xml:space="preserve"> </w:t>
      </w:r>
      <w:r w:rsidRPr="00383006">
        <w:rPr>
          <w:szCs w:val="22"/>
        </w:rPr>
        <w:t>213,</w:t>
      </w:r>
      <w:r w:rsidR="006C3405">
        <w:rPr>
          <w:szCs w:val="22"/>
        </w:rPr>
        <w:t xml:space="preserve"> </w:t>
      </w:r>
      <w:r w:rsidRPr="00383006">
        <w:rPr>
          <w:szCs w:val="22"/>
        </w:rPr>
        <w:t>Rule</w:t>
      </w:r>
      <w:r w:rsidR="006C3405">
        <w:rPr>
          <w:szCs w:val="22"/>
        </w:rPr>
        <w:t xml:space="preserve"> </w:t>
      </w:r>
      <w:r w:rsidRPr="00383006">
        <w:rPr>
          <w:szCs w:val="22"/>
        </w:rPr>
        <w:t>205</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Florida</w:t>
      </w:r>
      <w:r w:rsidR="006C3405">
        <w:rPr>
          <w:szCs w:val="22"/>
        </w:rPr>
        <w:t xml:space="preserve"> </w:t>
      </w:r>
      <w:r w:rsidRPr="00383006">
        <w:rPr>
          <w:szCs w:val="22"/>
        </w:rPr>
        <w:t>Administrative</w:t>
      </w:r>
      <w:r w:rsidR="006C3405">
        <w:rPr>
          <w:szCs w:val="22"/>
        </w:rPr>
        <w:t xml:space="preserve"> </w:t>
      </w:r>
      <w:r w:rsidRPr="00383006">
        <w:rPr>
          <w:szCs w:val="22"/>
        </w:rPr>
        <w:t>Code</w:t>
      </w:r>
    </w:p>
    <w:p w:rsidR="00383006" w:rsidRPr="00383006" w:rsidRDefault="00383006" w:rsidP="00383006">
      <w:pPr>
        <w:pStyle w:val="BodyText3"/>
        <w:spacing w:before="120"/>
        <w:rPr>
          <w:b/>
          <w:szCs w:val="22"/>
        </w:rPr>
      </w:pPr>
      <w:r w:rsidRPr="00383006">
        <w:rPr>
          <w:b/>
          <w:szCs w:val="22"/>
        </w:rPr>
        <w:t>Code</w:t>
      </w:r>
      <w:r w:rsidR="006C3405">
        <w:rPr>
          <w:b/>
          <w:szCs w:val="22"/>
        </w:rPr>
        <w:t xml:space="preserve"> </w:t>
      </w:r>
      <w:r w:rsidRPr="00383006">
        <w:rPr>
          <w:b/>
          <w:szCs w:val="22"/>
        </w:rPr>
        <w:t>of</w:t>
      </w:r>
      <w:r w:rsidR="006C3405">
        <w:rPr>
          <w:b/>
          <w:szCs w:val="22"/>
        </w:rPr>
        <w:t xml:space="preserve"> </w:t>
      </w:r>
      <w:r w:rsidRPr="00383006">
        <w:rPr>
          <w:b/>
          <w:szCs w:val="22"/>
        </w:rPr>
        <w:t>Federal</w:t>
      </w:r>
      <w:r w:rsidR="006C3405">
        <w:rPr>
          <w:b/>
          <w:szCs w:val="22"/>
        </w:rPr>
        <w:t xml:space="preserve"> </w:t>
      </w:r>
      <w:r w:rsidRPr="00383006">
        <w:rPr>
          <w:b/>
          <w:szCs w:val="22"/>
        </w:rPr>
        <w:t>Regulations</w:t>
      </w:r>
      <w:r w:rsidR="006C3405">
        <w:rPr>
          <w:b/>
          <w:szCs w:val="22"/>
        </w:rPr>
        <w:t xml:space="preserve"> </w:t>
      </w:r>
      <w:r w:rsidRPr="00383006">
        <w:rPr>
          <w:b/>
          <w:szCs w:val="22"/>
        </w:rPr>
        <w:t>(CFR)</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[40</w:t>
      </w:r>
      <w:r w:rsidR="006C3405">
        <w:rPr>
          <w:szCs w:val="22"/>
        </w:rPr>
        <w:t xml:space="preserve"> </w:t>
      </w:r>
      <w:r w:rsidRPr="00383006">
        <w:rPr>
          <w:szCs w:val="22"/>
        </w:rPr>
        <w:t>CRF</w:t>
      </w:r>
      <w:r w:rsidR="006C3405">
        <w:rPr>
          <w:szCs w:val="22"/>
        </w:rPr>
        <w:t xml:space="preserve"> </w:t>
      </w:r>
      <w:r w:rsidRPr="00383006">
        <w:rPr>
          <w:szCs w:val="22"/>
        </w:rPr>
        <w:t>60.7]</w:t>
      </w:r>
    </w:p>
    <w:p w:rsidR="002C186C" w:rsidRDefault="00383006" w:rsidP="006C3405">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40,</w:t>
      </w:r>
      <w:r w:rsidR="006C3405">
        <w:rPr>
          <w:szCs w:val="22"/>
        </w:rPr>
        <w:t xml:space="preserve"> </w:t>
      </w:r>
      <w:r w:rsidRPr="00383006">
        <w:rPr>
          <w:szCs w:val="22"/>
        </w:rPr>
        <w:t>Part</w:t>
      </w:r>
      <w:r w:rsidR="006C3405">
        <w:rPr>
          <w:szCs w:val="22"/>
        </w:rPr>
        <w:t xml:space="preserve"> </w:t>
      </w:r>
      <w:r w:rsidRPr="00383006">
        <w:rPr>
          <w:szCs w:val="22"/>
        </w:rPr>
        <w:t>60,</w:t>
      </w:r>
      <w:r w:rsidR="006C3405">
        <w:rPr>
          <w:szCs w:val="22"/>
        </w:rPr>
        <w:t xml:space="preserve"> </w:t>
      </w:r>
      <w:r w:rsidRPr="00383006">
        <w:rPr>
          <w:szCs w:val="22"/>
        </w:rPr>
        <w:t>Section</w:t>
      </w:r>
      <w:r w:rsidR="006C3405">
        <w:rPr>
          <w:szCs w:val="22"/>
        </w:rPr>
        <w:t xml:space="preserve"> </w:t>
      </w:r>
      <w:r w:rsidRPr="00383006">
        <w:rPr>
          <w:szCs w:val="22"/>
        </w:rPr>
        <w:t>7</w:t>
      </w:r>
    </w:p>
    <w:p w:rsidR="00383006" w:rsidRPr="00383006" w:rsidRDefault="00383006" w:rsidP="00421C07">
      <w:pPr>
        <w:tabs>
          <w:tab w:val="left" w:pos="1080"/>
        </w:tabs>
        <w:spacing w:before="240" w:after="120"/>
        <w:jc w:val="both"/>
        <w:rPr>
          <w:b/>
          <w:caps/>
          <w:szCs w:val="22"/>
        </w:rPr>
      </w:pPr>
      <w:r w:rsidRPr="00383006">
        <w:rPr>
          <w:b/>
          <w:caps/>
          <w:szCs w:val="22"/>
        </w:rPr>
        <w:t>Glossary</w:t>
      </w:r>
      <w:r w:rsidR="006C3405">
        <w:rPr>
          <w:b/>
          <w:caps/>
          <w:szCs w:val="22"/>
        </w:rPr>
        <w:t xml:space="preserve"> </w:t>
      </w:r>
      <w:r w:rsidRPr="00383006">
        <w:rPr>
          <w:b/>
          <w:caps/>
          <w:szCs w:val="22"/>
        </w:rPr>
        <w:t>of</w:t>
      </w:r>
      <w:r w:rsidR="006C3405">
        <w:rPr>
          <w:b/>
          <w:caps/>
          <w:szCs w:val="22"/>
        </w:rPr>
        <w:t xml:space="preserve"> </w:t>
      </w:r>
      <w:r w:rsidRPr="00383006">
        <w:rPr>
          <w:b/>
          <w:caps/>
          <w:szCs w:val="22"/>
        </w:rPr>
        <w:t>Common</w:t>
      </w:r>
      <w:r w:rsidR="006C3405">
        <w:rPr>
          <w:b/>
          <w:caps/>
          <w:szCs w:val="22"/>
        </w:rPr>
        <w:t xml:space="preserve"> </w:t>
      </w:r>
      <w:r w:rsidRPr="00383006">
        <w:rPr>
          <w:b/>
          <w:caps/>
          <w:szCs w:val="22"/>
        </w:rPr>
        <w:t>Terms</w:t>
      </w:r>
    </w:p>
    <w:p w:rsidR="00383006" w:rsidRPr="00383006" w:rsidRDefault="00383006" w:rsidP="00383006">
      <w:pPr>
        <w:tabs>
          <w:tab w:val="left" w:pos="9540"/>
        </w:tabs>
        <w:spacing w:after="120"/>
        <w:jc w:val="both"/>
        <w:rPr>
          <w:b/>
          <w:szCs w:val="22"/>
        </w:rPr>
        <w:sectPr w:rsidR="00383006" w:rsidRPr="00383006" w:rsidSect="00956C2D">
          <w:headerReference w:type="even" r:id="rId18"/>
          <w:headerReference w:type="default" r:id="rId19"/>
          <w:footerReference w:type="default" r:id="rId20"/>
          <w:headerReference w:type="first" r:id="rId21"/>
          <w:pgSz w:w="12240" w:h="15840" w:code="1"/>
          <w:pgMar w:top="720" w:right="1152" w:bottom="720" w:left="1152" w:header="720" w:footer="720" w:gutter="0"/>
          <w:paperSrc w:first="15" w:other="15"/>
          <w:pgNumType w:start="1"/>
          <w:cols w:space="720"/>
        </w:sectPr>
      </w:pPr>
    </w:p>
    <w:p w:rsidR="00383006" w:rsidRPr="00383006" w:rsidRDefault="00383006" w:rsidP="00383006">
      <w:pPr>
        <w:tabs>
          <w:tab w:val="left" w:pos="9540"/>
        </w:tabs>
        <w:spacing w:after="120"/>
        <w:jc w:val="both"/>
        <w:rPr>
          <w:szCs w:val="22"/>
        </w:rPr>
      </w:pPr>
      <w:r w:rsidRPr="00383006">
        <w:rPr>
          <w:b/>
          <w:szCs w:val="22"/>
        </w:rPr>
        <w:lastRenderedPageBreak/>
        <w:t>°</w:t>
      </w:r>
      <w:r w:rsidR="006C3405">
        <w:rPr>
          <w:b/>
          <w:szCs w:val="22"/>
        </w:rPr>
        <w:t xml:space="preserve"> </w:t>
      </w:r>
      <w:r w:rsidRPr="00383006">
        <w:rPr>
          <w:b/>
          <w:szCs w:val="22"/>
        </w:rPr>
        <w:t>F</w:t>
      </w:r>
      <w:r w:rsidRPr="00383006">
        <w:rPr>
          <w:szCs w:val="22"/>
        </w:rPr>
        <w:t>:</w:t>
      </w:r>
      <w:r w:rsidR="006C3405">
        <w:rPr>
          <w:szCs w:val="22"/>
        </w:rPr>
        <w:t xml:space="preserve">  </w:t>
      </w:r>
      <w:r w:rsidRPr="00383006">
        <w:rPr>
          <w:szCs w:val="22"/>
        </w:rPr>
        <w:t>degrees</w:t>
      </w:r>
      <w:r w:rsidR="006C3405">
        <w:rPr>
          <w:szCs w:val="22"/>
        </w:rPr>
        <w:t xml:space="preserve"> </w:t>
      </w:r>
      <w:r w:rsidRPr="00383006">
        <w:rPr>
          <w:szCs w:val="22"/>
        </w:rPr>
        <w:t>Fahrenheit</w:t>
      </w:r>
    </w:p>
    <w:p w:rsidR="00383006" w:rsidRPr="00383006" w:rsidRDefault="00383006" w:rsidP="00383006">
      <w:pPr>
        <w:spacing w:after="120"/>
        <w:jc w:val="both"/>
        <w:rPr>
          <w:szCs w:val="22"/>
        </w:rPr>
      </w:pPr>
      <w:proofErr w:type="gramStart"/>
      <w:r w:rsidRPr="00383006">
        <w:rPr>
          <w:b/>
          <w:szCs w:val="22"/>
        </w:rPr>
        <w:t>acfm</w:t>
      </w:r>
      <w:proofErr w:type="gramEnd"/>
      <w:r w:rsidRPr="00383006">
        <w:rPr>
          <w:szCs w:val="22"/>
        </w:rPr>
        <w:t>:</w:t>
      </w:r>
      <w:r w:rsidR="006C3405">
        <w:rPr>
          <w:szCs w:val="22"/>
        </w:rPr>
        <w:t xml:space="preserve">  </w:t>
      </w:r>
      <w:r w:rsidRPr="00383006">
        <w:rPr>
          <w:szCs w:val="22"/>
        </w:rPr>
        <w:t>actual</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ARMS</w:t>
      </w:r>
      <w:r w:rsidRPr="00383006">
        <w:rPr>
          <w:szCs w:val="22"/>
        </w:rPr>
        <w:t>:</w:t>
      </w:r>
      <w:r w:rsidR="006C3405">
        <w:rPr>
          <w:szCs w:val="22"/>
        </w:rPr>
        <w:t xml:space="preserve">  </w:t>
      </w:r>
      <w:r w:rsidRPr="00383006">
        <w:rPr>
          <w:szCs w:val="22"/>
        </w:rPr>
        <w:t>Air</w:t>
      </w:r>
      <w:r w:rsidR="006C3405">
        <w:rPr>
          <w:szCs w:val="22"/>
        </w:rPr>
        <w:t xml:space="preserve"> </w:t>
      </w:r>
      <w:r w:rsidRPr="00383006">
        <w:rPr>
          <w:szCs w:val="22"/>
        </w:rPr>
        <w:t>Resource</w:t>
      </w:r>
      <w:r w:rsidR="006C3405">
        <w:rPr>
          <w:szCs w:val="22"/>
        </w:rPr>
        <w:t xml:space="preserve"> </w:t>
      </w:r>
      <w:r w:rsidRPr="00383006">
        <w:rPr>
          <w:szCs w:val="22"/>
        </w:rPr>
        <w:t>Management</w:t>
      </w:r>
      <w:r w:rsidR="006C3405">
        <w:rPr>
          <w:szCs w:val="22"/>
        </w:rPr>
        <w:t xml:space="preserve"> </w:t>
      </w:r>
      <w:r w:rsidRPr="00383006">
        <w:rPr>
          <w:szCs w:val="22"/>
        </w:rPr>
        <w:t>System</w:t>
      </w:r>
      <w:r w:rsidR="006C3405">
        <w:rPr>
          <w:szCs w:val="22"/>
        </w:rPr>
        <w:t xml:space="preserve"> </w:t>
      </w:r>
      <w:r w:rsidRPr="00383006">
        <w:rPr>
          <w:szCs w:val="22"/>
        </w:rPr>
        <w:t>(Department’s</w:t>
      </w:r>
      <w:r w:rsidR="006C3405">
        <w:rPr>
          <w:szCs w:val="22"/>
        </w:rPr>
        <w:t xml:space="preserve"> </w:t>
      </w:r>
      <w:r w:rsidRPr="00383006">
        <w:rPr>
          <w:szCs w:val="22"/>
        </w:rPr>
        <w:t>database)</w:t>
      </w:r>
    </w:p>
    <w:p w:rsidR="00383006" w:rsidRPr="00383006" w:rsidRDefault="00383006" w:rsidP="00383006">
      <w:pPr>
        <w:spacing w:after="120"/>
        <w:jc w:val="both"/>
        <w:rPr>
          <w:szCs w:val="22"/>
        </w:rPr>
      </w:pPr>
      <w:r w:rsidRPr="00383006">
        <w:rPr>
          <w:b/>
          <w:szCs w:val="22"/>
        </w:rPr>
        <w:t>BACT</w:t>
      </w:r>
      <w:r w:rsidRPr="00383006">
        <w:rPr>
          <w:szCs w:val="22"/>
        </w:rPr>
        <w:t>:</w:t>
      </w:r>
      <w:r w:rsidR="006C3405">
        <w:rPr>
          <w:szCs w:val="22"/>
        </w:rPr>
        <w:t xml:space="preserve">  </w:t>
      </w:r>
      <w:r w:rsidRPr="00383006">
        <w:rPr>
          <w:szCs w:val="22"/>
        </w:rPr>
        <w:t>best</w:t>
      </w:r>
      <w:r w:rsidR="006C3405">
        <w:rPr>
          <w:szCs w:val="22"/>
        </w:rPr>
        <w:t xml:space="preserve"> </w:t>
      </w:r>
      <w:r w:rsidRPr="00383006">
        <w:rPr>
          <w:szCs w:val="22"/>
        </w:rPr>
        <w:t>available</w:t>
      </w:r>
      <w:r w:rsidR="006C3405">
        <w:rPr>
          <w:szCs w:val="22"/>
        </w:rPr>
        <w:t xml:space="preserve"> </w:t>
      </w:r>
      <w:r w:rsidRPr="00383006">
        <w:rPr>
          <w:szCs w:val="22"/>
        </w:rPr>
        <w:t>control</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lastRenderedPageBreak/>
        <w:t>Btu</w:t>
      </w:r>
      <w:r w:rsidRPr="00383006">
        <w:rPr>
          <w:szCs w:val="22"/>
        </w:rPr>
        <w:t>:</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szCs w:val="22"/>
        </w:rPr>
        <w:t>CAM</w:t>
      </w:r>
      <w:r w:rsidRPr="00383006">
        <w:rPr>
          <w:szCs w:val="22"/>
        </w:rPr>
        <w:t>:</w:t>
      </w:r>
      <w:r w:rsidR="006C3405">
        <w:rPr>
          <w:szCs w:val="22"/>
        </w:rPr>
        <w:t xml:space="preserve">  </w:t>
      </w:r>
      <w:r w:rsidRPr="00383006">
        <w:rPr>
          <w:szCs w:val="22"/>
        </w:rPr>
        <w:t>compliance</w:t>
      </w:r>
      <w:r w:rsidR="006C3405">
        <w:rPr>
          <w:szCs w:val="22"/>
        </w:rPr>
        <w:t xml:space="preserve"> </w:t>
      </w:r>
      <w:r w:rsidRPr="00383006">
        <w:rPr>
          <w:szCs w:val="22"/>
        </w:rPr>
        <w:t>assurance</w:t>
      </w:r>
      <w:r w:rsidR="006C3405">
        <w:rPr>
          <w:szCs w:val="22"/>
        </w:rPr>
        <w:t xml:space="preserve"> </w:t>
      </w:r>
      <w:r w:rsidRPr="00383006">
        <w:rPr>
          <w:szCs w:val="22"/>
        </w:rPr>
        <w:t>monitoring</w:t>
      </w:r>
    </w:p>
    <w:p w:rsidR="00383006" w:rsidRPr="00383006" w:rsidRDefault="00383006" w:rsidP="00383006">
      <w:pPr>
        <w:spacing w:after="120"/>
        <w:jc w:val="both"/>
        <w:rPr>
          <w:szCs w:val="22"/>
        </w:rPr>
      </w:pPr>
      <w:r w:rsidRPr="00383006">
        <w:rPr>
          <w:b/>
          <w:szCs w:val="22"/>
        </w:rPr>
        <w:t>CEMS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emissions</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proofErr w:type="gramStart"/>
      <w:r w:rsidRPr="00383006">
        <w:rPr>
          <w:b/>
          <w:szCs w:val="22"/>
        </w:rPr>
        <w:t>cfm</w:t>
      </w:r>
      <w:proofErr w:type="gramEnd"/>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lastRenderedPageBreak/>
        <w:t>CFR</w:t>
      </w:r>
      <w:r w:rsidRPr="00383006">
        <w:rPr>
          <w:szCs w:val="22"/>
        </w:rPr>
        <w:t>:</w:t>
      </w:r>
      <w:r w:rsidR="006C3405">
        <w:rPr>
          <w:szCs w:val="22"/>
        </w:rPr>
        <w:t xml:space="preserve">  </w:t>
      </w:r>
      <w:r w:rsidRPr="00383006">
        <w:rPr>
          <w:szCs w:val="22"/>
        </w:rPr>
        <w:t>Code</w:t>
      </w:r>
      <w:r w:rsidR="006C3405">
        <w:rPr>
          <w:szCs w:val="22"/>
        </w:rPr>
        <w:t xml:space="preserve"> </w:t>
      </w:r>
      <w:r w:rsidRPr="00383006">
        <w:rPr>
          <w:szCs w:val="22"/>
        </w:rPr>
        <w:t>of</w:t>
      </w:r>
      <w:r w:rsidR="006C3405">
        <w:rPr>
          <w:szCs w:val="22"/>
        </w:rPr>
        <w:t xml:space="preserve"> </w:t>
      </w:r>
      <w:r w:rsidRPr="00383006">
        <w:rPr>
          <w:szCs w:val="22"/>
        </w:rPr>
        <w:t>Federal</w:t>
      </w:r>
      <w:r w:rsidR="006C3405">
        <w:rPr>
          <w:szCs w:val="22"/>
        </w:rPr>
        <w:t xml:space="preserve"> </w:t>
      </w:r>
      <w:r w:rsidRPr="00383006">
        <w:rPr>
          <w:szCs w:val="22"/>
        </w:rPr>
        <w:t>Regulations</w:t>
      </w:r>
    </w:p>
    <w:p w:rsidR="00383006" w:rsidRPr="00383006" w:rsidRDefault="00383006" w:rsidP="00383006">
      <w:pPr>
        <w:spacing w:after="120"/>
        <w:jc w:val="both"/>
        <w:rPr>
          <w:szCs w:val="22"/>
        </w:rPr>
      </w:pPr>
      <w:r w:rsidRPr="00383006">
        <w:rPr>
          <w:b/>
          <w:szCs w:val="22"/>
        </w:rPr>
        <w:t>CO</w:t>
      </w:r>
      <w:r w:rsidRPr="00383006">
        <w:rPr>
          <w:szCs w:val="22"/>
        </w:rPr>
        <w:t>:</w:t>
      </w:r>
      <w:r w:rsidR="006C3405">
        <w:rPr>
          <w:szCs w:val="22"/>
        </w:rPr>
        <w:t xml:space="preserve">  </w:t>
      </w:r>
      <w:r w:rsidRPr="00383006">
        <w:rPr>
          <w:szCs w:val="22"/>
        </w:rPr>
        <w:t>carbon</w:t>
      </w:r>
      <w:r w:rsidR="006C3405">
        <w:rPr>
          <w:szCs w:val="22"/>
        </w:rPr>
        <w:t xml:space="preserve"> </w:t>
      </w:r>
      <w:r w:rsidRPr="00383006">
        <w:rPr>
          <w:szCs w:val="22"/>
        </w:rPr>
        <w:t>monoxide</w:t>
      </w:r>
    </w:p>
    <w:p w:rsidR="00383006" w:rsidRPr="00383006" w:rsidRDefault="00383006" w:rsidP="00383006">
      <w:pPr>
        <w:spacing w:after="120"/>
        <w:jc w:val="both"/>
        <w:rPr>
          <w:szCs w:val="22"/>
        </w:rPr>
      </w:pPr>
      <w:r w:rsidRPr="00383006">
        <w:rPr>
          <w:b/>
          <w:szCs w:val="22"/>
        </w:rPr>
        <w:t>COMS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opacity</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DEP</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Department</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proofErr w:type="gramStart"/>
      <w:r w:rsidRPr="00383006">
        <w:rPr>
          <w:b/>
          <w:szCs w:val="22"/>
        </w:rPr>
        <w:t>dscfm</w:t>
      </w:r>
      <w:proofErr w:type="gramEnd"/>
      <w:r w:rsidRPr="00383006">
        <w:rPr>
          <w:szCs w:val="22"/>
        </w:rPr>
        <w:t>:</w:t>
      </w:r>
      <w:r w:rsidR="006C3405">
        <w:rPr>
          <w:szCs w:val="22"/>
        </w:rPr>
        <w:t xml:space="preserve">  </w:t>
      </w:r>
      <w:r w:rsidRPr="00383006">
        <w:rPr>
          <w:szCs w:val="22"/>
        </w:rPr>
        <w:t>dry</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EPA</w:t>
      </w:r>
      <w:r w:rsidRPr="00383006">
        <w:rPr>
          <w:szCs w:val="22"/>
        </w:rPr>
        <w:t>:</w:t>
      </w:r>
      <w:r w:rsidR="006C3405">
        <w:rPr>
          <w:szCs w:val="22"/>
        </w:rPr>
        <w:t xml:space="preserve">  </w:t>
      </w:r>
      <w:r w:rsidRPr="00383006">
        <w:rPr>
          <w:szCs w:val="22"/>
        </w:rPr>
        <w:t>Environmental</w:t>
      </w:r>
      <w:r w:rsidR="006C3405">
        <w:rPr>
          <w:szCs w:val="22"/>
        </w:rPr>
        <w:t xml:space="preserve"> </w:t>
      </w:r>
      <w:r w:rsidRPr="00383006">
        <w:rPr>
          <w:szCs w:val="22"/>
        </w:rPr>
        <w:t>Protection</w:t>
      </w:r>
      <w:r w:rsidR="006C3405">
        <w:rPr>
          <w:szCs w:val="22"/>
        </w:rPr>
        <w:t xml:space="preserve"> </w:t>
      </w:r>
      <w:r w:rsidRPr="00383006">
        <w:rPr>
          <w:szCs w:val="22"/>
        </w:rPr>
        <w:t>Agency</w:t>
      </w:r>
    </w:p>
    <w:p w:rsidR="00383006" w:rsidRPr="00383006" w:rsidRDefault="00383006" w:rsidP="00383006">
      <w:pPr>
        <w:spacing w:after="120"/>
        <w:jc w:val="both"/>
        <w:rPr>
          <w:szCs w:val="22"/>
        </w:rPr>
      </w:pPr>
      <w:r w:rsidRPr="00383006">
        <w:rPr>
          <w:b/>
          <w:szCs w:val="22"/>
        </w:rPr>
        <w:t>ESP</w:t>
      </w:r>
      <w:r w:rsidRPr="00383006">
        <w:rPr>
          <w:szCs w:val="22"/>
        </w:rPr>
        <w:t>:</w:t>
      </w:r>
      <w:r w:rsidR="006C3405">
        <w:rPr>
          <w:szCs w:val="22"/>
        </w:rPr>
        <w:t xml:space="preserve">  </w:t>
      </w:r>
      <w:r w:rsidRPr="00383006">
        <w:rPr>
          <w:szCs w:val="22"/>
        </w:rPr>
        <w:t>electrostatic</w:t>
      </w:r>
      <w:r w:rsidR="006C3405">
        <w:rPr>
          <w:szCs w:val="22"/>
        </w:rPr>
        <w:t xml:space="preserve"> </w:t>
      </w:r>
      <w:r w:rsidRPr="00383006">
        <w:rPr>
          <w:szCs w:val="22"/>
        </w:rPr>
        <w:t>precipitator</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lang w:val="pt-BR"/>
        </w:rPr>
      </w:pPr>
      <w:r w:rsidRPr="00383006">
        <w:rPr>
          <w:b/>
          <w:szCs w:val="22"/>
          <w:lang w:val="pt-BR"/>
        </w:rPr>
        <w:t>EU</w:t>
      </w:r>
      <w:r w:rsidRPr="00383006">
        <w:rPr>
          <w:szCs w:val="22"/>
          <w:lang w:val="pt-BR"/>
        </w:rPr>
        <w:t>:</w:t>
      </w:r>
      <w:r w:rsidR="006C3405">
        <w:rPr>
          <w:szCs w:val="22"/>
          <w:lang w:val="pt-BR"/>
        </w:rPr>
        <w:t xml:space="preserve">  </w:t>
      </w:r>
      <w:r w:rsidRPr="00383006">
        <w:rPr>
          <w:szCs w:val="22"/>
          <w:lang w:val="pt-BR"/>
        </w:rPr>
        <w:t>emissions</w:t>
      </w:r>
      <w:r w:rsidR="006C3405">
        <w:rPr>
          <w:szCs w:val="22"/>
          <w:lang w:val="pt-BR"/>
        </w:rPr>
        <w:t xml:space="preserve"> </w:t>
      </w:r>
      <w:r w:rsidRPr="00383006">
        <w:rPr>
          <w:szCs w:val="22"/>
          <w:lang w:val="pt-BR"/>
        </w:rPr>
        <w:t>unit</w:t>
      </w:r>
    </w:p>
    <w:p w:rsidR="00383006" w:rsidRPr="00383006" w:rsidRDefault="00383006" w:rsidP="00383006">
      <w:pPr>
        <w:spacing w:after="120"/>
        <w:jc w:val="both"/>
        <w:rPr>
          <w:szCs w:val="22"/>
          <w:lang w:val="pt-BR"/>
        </w:rPr>
      </w:pPr>
      <w:r w:rsidRPr="00383006">
        <w:rPr>
          <w:b/>
          <w:szCs w:val="22"/>
          <w:lang w:val="pt-BR"/>
        </w:rPr>
        <w:t>F.A.C.</w:t>
      </w:r>
      <w:r w:rsidRPr="00383006">
        <w:rPr>
          <w:szCs w:val="22"/>
          <w:lang w:val="pt-BR"/>
        </w:rPr>
        <w:t>:</w:t>
      </w:r>
      <w:r w:rsidR="006C3405">
        <w:rPr>
          <w:szCs w:val="22"/>
          <w:lang w:val="pt-BR"/>
        </w:rPr>
        <w:t xml:space="preserve">  </w:t>
      </w:r>
      <w:r w:rsidRPr="00383006">
        <w:rPr>
          <w:szCs w:val="22"/>
          <w:lang w:val="pt-BR"/>
        </w:rPr>
        <w:t>Florida</w:t>
      </w:r>
      <w:r w:rsidR="006C3405">
        <w:rPr>
          <w:szCs w:val="22"/>
          <w:lang w:val="pt-BR"/>
        </w:rPr>
        <w:t xml:space="preserve"> </w:t>
      </w:r>
      <w:r w:rsidRPr="00383006">
        <w:rPr>
          <w:szCs w:val="22"/>
          <w:lang w:val="pt-BR"/>
        </w:rPr>
        <w:t>Administrative</w:t>
      </w:r>
      <w:r w:rsidR="006C3405">
        <w:rPr>
          <w:szCs w:val="22"/>
          <w:lang w:val="pt-BR"/>
        </w:rPr>
        <w:t xml:space="preserve"> </w:t>
      </w:r>
      <w:r w:rsidRPr="00383006">
        <w:rPr>
          <w:szCs w:val="22"/>
          <w:lang w:val="pt-BR"/>
        </w:rPr>
        <w:t>Code</w:t>
      </w:r>
    </w:p>
    <w:p w:rsidR="00383006" w:rsidRPr="00383006" w:rsidRDefault="00383006" w:rsidP="00383006">
      <w:pPr>
        <w:spacing w:after="120"/>
        <w:jc w:val="both"/>
        <w:rPr>
          <w:szCs w:val="22"/>
        </w:rPr>
      </w:pPr>
      <w:r w:rsidRPr="00383006">
        <w:rPr>
          <w:b/>
          <w:szCs w:val="22"/>
        </w:rPr>
        <w:t>F.D.</w:t>
      </w:r>
      <w:r w:rsidRPr="00383006">
        <w:rPr>
          <w:szCs w:val="22"/>
        </w:rPr>
        <w:t>:</w:t>
      </w:r>
      <w:r w:rsidR="006C3405">
        <w:rPr>
          <w:szCs w:val="22"/>
        </w:rPr>
        <w:t xml:space="preserve">  </w:t>
      </w:r>
      <w:r w:rsidRPr="00383006">
        <w:rPr>
          <w:szCs w:val="22"/>
        </w:rPr>
        <w:t>forced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F.S.</w:t>
      </w:r>
      <w:r w:rsidRPr="00383006">
        <w:rPr>
          <w:szCs w:val="22"/>
        </w:rPr>
        <w:t>:</w:t>
      </w:r>
      <w:r w:rsidR="006C3405">
        <w:rPr>
          <w:szCs w:val="22"/>
        </w:rPr>
        <w:t xml:space="preserve">  </w:t>
      </w:r>
      <w:r w:rsidRPr="00383006">
        <w:rPr>
          <w:szCs w:val="22"/>
        </w:rPr>
        <w:t>Florida</w:t>
      </w:r>
      <w:r w:rsidR="006C3405">
        <w:rPr>
          <w:szCs w:val="22"/>
        </w:rPr>
        <w:t xml:space="preserve"> </w:t>
      </w:r>
      <w:r w:rsidRPr="00383006">
        <w:rPr>
          <w:szCs w:val="22"/>
        </w:rPr>
        <w:t>Statutes</w:t>
      </w:r>
    </w:p>
    <w:p w:rsidR="00383006" w:rsidRPr="00383006" w:rsidRDefault="00383006" w:rsidP="00383006">
      <w:pPr>
        <w:spacing w:after="120"/>
        <w:jc w:val="both"/>
        <w:rPr>
          <w:szCs w:val="22"/>
        </w:rPr>
      </w:pPr>
      <w:r w:rsidRPr="00383006">
        <w:rPr>
          <w:b/>
          <w:szCs w:val="22"/>
        </w:rPr>
        <w:t>FGR</w:t>
      </w:r>
      <w:r w:rsidRPr="00383006">
        <w:rPr>
          <w:szCs w:val="22"/>
        </w:rPr>
        <w:t>:</w:t>
      </w:r>
      <w:r w:rsidR="006C3405">
        <w:rPr>
          <w:szCs w:val="22"/>
        </w:rPr>
        <w:t xml:space="preserve">  </w:t>
      </w:r>
      <w:r w:rsidRPr="00383006">
        <w:rPr>
          <w:szCs w:val="22"/>
        </w:rPr>
        <w:t>flue</w:t>
      </w:r>
      <w:r w:rsidR="006C3405">
        <w:rPr>
          <w:szCs w:val="22"/>
        </w:rPr>
        <w:t xml:space="preserve"> </w:t>
      </w:r>
      <w:r w:rsidRPr="00383006">
        <w:rPr>
          <w:szCs w:val="22"/>
        </w:rPr>
        <w:t>gas</w:t>
      </w:r>
      <w:r w:rsidR="006C3405">
        <w:rPr>
          <w:szCs w:val="22"/>
        </w:rPr>
        <w:t xml:space="preserve"> </w:t>
      </w:r>
      <w:r w:rsidRPr="00383006">
        <w:rPr>
          <w:szCs w:val="22"/>
        </w:rPr>
        <w:t>recirculation</w:t>
      </w:r>
    </w:p>
    <w:p w:rsidR="00383006" w:rsidRPr="00383006" w:rsidRDefault="00383006" w:rsidP="00383006">
      <w:pPr>
        <w:spacing w:after="120"/>
        <w:jc w:val="both"/>
        <w:rPr>
          <w:szCs w:val="22"/>
        </w:rPr>
      </w:pPr>
      <w:r w:rsidRPr="00383006">
        <w:rPr>
          <w:b/>
          <w:szCs w:val="22"/>
        </w:rPr>
        <w:t>F</w:t>
      </w:r>
      <w:r w:rsidRPr="00383006">
        <w:rPr>
          <w:szCs w:val="22"/>
        </w:rPr>
        <w:t>:</w:t>
      </w:r>
      <w:r w:rsidR="006C3405">
        <w:rPr>
          <w:szCs w:val="22"/>
        </w:rPr>
        <w:t xml:space="preserve">  </w:t>
      </w:r>
      <w:r w:rsidRPr="00383006">
        <w:rPr>
          <w:szCs w:val="22"/>
        </w:rPr>
        <w:t>fluoride</w:t>
      </w:r>
    </w:p>
    <w:p w:rsidR="00383006" w:rsidRPr="00383006" w:rsidRDefault="00383006" w:rsidP="00383006">
      <w:pPr>
        <w:spacing w:after="120"/>
        <w:jc w:val="both"/>
        <w:rPr>
          <w:szCs w:val="22"/>
        </w:rPr>
      </w:pPr>
      <w:r w:rsidRPr="00383006">
        <w:rPr>
          <w:b/>
          <w:szCs w:val="22"/>
        </w:rPr>
        <w:t>ft</w:t>
      </w:r>
      <w:r w:rsidRPr="00383006">
        <w:rPr>
          <w:b/>
          <w:szCs w:val="22"/>
          <w:vertAlign w:val="superscript"/>
        </w:rPr>
        <w:t>2</w:t>
      </w:r>
      <w:r w:rsidRPr="00383006">
        <w:rPr>
          <w:szCs w:val="22"/>
        </w:rPr>
        <w:t>:</w:t>
      </w:r>
      <w:r w:rsidR="006C3405">
        <w:rPr>
          <w:szCs w:val="22"/>
        </w:rPr>
        <w:t xml:space="preserve">  </w:t>
      </w:r>
      <w:r w:rsidRPr="00383006">
        <w:rPr>
          <w:szCs w:val="22"/>
        </w:rPr>
        <w:t>square</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ft</w:t>
      </w:r>
      <w:r w:rsidRPr="00383006">
        <w:rPr>
          <w:b/>
          <w:szCs w:val="22"/>
          <w:vertAlign w:val="superscript"/>
        </w:rPr>
        <w:t>3</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gpm</w:t>
      </w:r>
      <w:proofErr w:type="gramEnd"/>
      <w:r w:rsidRPr="00383006">
        <w:rPr>
          <w:szCs w:val="22"/>
        </w:rPr>
        <w:t>:</w:t>
      </w:r>
      <w:r w:rsidR="006C3405">
        <w:rPr>
          <w:szCs w:val="22"/>
        </w:rPr>
        <w:t xml:space="preserve">  </w:t>
      </w:r>
      <w:r w:rsidRPr="00383006">
        <w:rPr>
          <w:szCs w:val="22"/>
        </w:rPr>
        <w:t>gallons</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proofErr w:type="gramStart"/>
      <w:r w:rsidRPr="00383006">
        <w:rPr>
          <w:b/>
          <w:szCs w:val="22"/>
        </w:rPr>
        <w:t>gr</w:t>
      </w:r>
      <w:proofErr w:type="gramEnd"/>
      <w:r w:rsidRPr="00383006">
        <w:rPr>
          <w:szCs w:val="22"/>
        </w:rPr>
        <w:t>:</w:t>
      </w:r>
      <w:r w:rsidR="006C3405">
        <w:rPr>
          <w:szCs w:val="22"/>
        </w:rPr>
        <w:t xml:space="preserve">  </w:t>
      </w:r>
      <w:r w:rsidRPr="00383006">
        <w:rPr>
          <w:szCs w:val="22"/>
        </w:rPr>
        <w:t>grains</w:t>
      </w:r>
    </w:p>
    <w:p w:rsidR="00383006" w:rsidRPr="00383006" w:rsidRDefault="00383006" w:rsidP="00383006">
      <w:pPr>
        <w:spacing w:after="120"/>
        <w:jc w:val="both"/>
        <w:rPr>
          <w:szCs w:val="22"/>
        </w:rPr>
      </w:pPr>
      <w:r w:rsidRPr="00383006">
        <w:rPr>
          <w:b/>
          <w:szCs w:val="22"/>
        </w:rPr>
        <w:t>HAP</w:t>
      </w:r>
      <w:r w:rsidRPr="00383006">
        <w:rPr>
          <w:szCs w:val="22"/>
        </w:rPr>
        <w:t>:</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w:t>
      </w:r>
    </w:p>
    <w:p w:rsidR="00383006" w:rsidRPr="00383006" w:rsidRDefault="00383006" w:rsidP="00383006">
      <w:pPr>
        <w:spacing w:after="120"/>
        <w:jc w:val="both"/>
        <w:rPr>
          <w:szCs w:val="22"/>
        </w:rPr>
      </w:pPr>
      <w:r w:rsidRPr="00383006">
        <w:rPr>
          <w:b/>
          <w:szCs w:val="22"/>
        </w:rPr>
        <w:t>Hg</w:t>
      </w:r>
      <w:r w:rsidRPr="00383006">
        <w:rPr>
          <w:szCs w:val="22"/>
        </w:rPr>
        <w:t>:</w:t>
      </w:r>
      <w:r w:rsidR="006C3405">
        <w:rPr>
          <w:szCs w:val="22"/>
        </w:rPr>
        <w:t xml:space="preserve">  </w:t>
      </w:r>
      <w:r w:rsidRPr="00383006">
        <w:rPr>
          <w:szCs w:val="22"/>
        </w:rPr>
        <w:t>mercury</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induced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identification</w:t>
      </w:r>
    </w:p>
    <w:p w:rsidR="00383006" w:rsidRPr="00383006" w:rsidRDefault="00383006" w:rsidP="00383006">
      <w:pPr>
        <w:spacing w:after="120"/>
        <w:jc w:val="both"/>
        <w:rPr>
          <w:szCs w:val="22"/>
        </w:rPr>
      </w:pPr>
      <w:proofErr w:type="gramStart"/>
      <w:r w:rsidRPr="00383006">
        <w:rPr>
          <w:b/>
          <w:snapToGrid w:val="0"/>
          <w:szCs w:val="22"/>
        </w:rPr>
        <w:t>kPa</w:t>
      </w:r>
      <w:proofErr w:type="gramEnd"/>
      <w:r w:rsidRPr="00383006">
        <w:rPr>
          <w:snapToGrid w:val="0"/>
          <w:szCs w:val="22"/>
        </w:rPr>
        <w:t>:</w:t>
      </w:r>
      <w:r w:rsidR="006C3405">
        <w:rPr>
          <w:snapToGrid w:val="0"/>
          <w:szCs w:val="22"/>
        </w:rPr>
        <w:t xml:space="preserve">  </w:t>
      </w:r>
      <w:r w:rsidRPr="00383006">
        <w:rPr>
          <w:snapToGrid w:val="0"/>
          <w:szCs w:val="22"/>
        </w:rPr>
        <w:t>kilopascals</w:t>
      </w:r>
    </w:p>
    <w:p w:rsidR="00383006" w:rsidRPr="00383006" w:rsidRDefault="00383006" w:rsidP="00383006">
      <w:pPr>
        <w:spacing w:after="120"/>
        <w:jc w:val="both"/>
        <w:rPr>
          <w:szCs w:val="22"/>
        </w:rPr>
      </w:pPr>
      <w:proofErr w:type="gramStart"/>
      <w:r w:rsidRPr="00383006">
        <w:rPr>
          <w:b/>
          <w:szCs w:val="22"/>
        </w:rPr>
        <w:t>lb</w:t>
      </w:r>
      <w:proofErr w:type="gramEnd"/>
      <w:r w:rsidRPr="00383006">
        <w:rPr>
          <w:szCs w:val="22"/>
        </w:rPr>
        <w:t>:</w:t>
      </w:r>
      <w:r w:rsidR="006C3405">
        <w:rPr>
          <w:szCs w:val="22"/>
        </w:rPr>
        <w:t xml:space="preserve">  </w:t>
      </w:r>
      <w:r w:rsidRPr="00383006">
        <w:rPr>
          <w:szCs w:val="22"/>
        </w:rPr>
        <w:t>pound</w:t>
      </w:r>
    </w:p>
    <w:p w:rsidR="00383006" w:rsidRPr="00383006" w:rsidRDefault="00383006" w:rsidP="00383006">
      <w:pPr>
        <w:spacing w:after="120"/>
        <w:jc w:val="both"/>
        <w:rPr>
          <w:szCs w:val="22"/>
        </w:rPr>
      </w:pPr>
      <w:r w:rsidRPr="00383006">
        <w:rPr>
          <w:b/>
          <w:szCs w:val="22"/>
        </w:rPr>
        <w:t>MACT</w:t>
      </w:r>
      <w:r w:rsidRPr="00383006">
        <w:rPr>
          <w:szCs w:val="22"/>
        </w:rPr>
        <w:t>:</w:t>
      </w:r>
      <w:r w:rsidR="006C3405">
        <w:rPr>
          <w:szCs w:val="22"/>
        </w:rPr>
        <w:t xml:space="preserve">  </w:t>
      </w:r>
      <w:r w:rsidRPr="00383006">
        <w:rPr>
          <w:szCs w:val="22"/>
        </w:rPr>
        <w:t>maximum</w:t>
      </w:r>
      <w:r w:rsidR="006C3405">
        <w:rPr>
          <w:szCs w:val="22"/>
        </w:rPr>
        <w:t xml:space="preserve"> </w:t>
      </w:r>
      <w:r w:rsidRPr="00383006">
        <w:rPr>
          <w:szCs w:val="22"/>
        </w:rPr>
        <w:t>achievable</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MMBtu</w:t>
      </w:r>
      <w:r w:rsidRPr="00383006">
        <w:rPr>
          <w:szCs w:val="22"/>
        </w:rPr>
        <w:t>:</w:t>
      </w:r>
      <w:r w:rsidR="006C3405">
        <w:rPr>
          <w:szCs w:val="22"/>
        </w:rPr>
        <w:t xml:space="preserve">  </w:t>
      </w:r>
      <w:r w:rsidRPr="00383006">
        <w:rPr>
          <w:szCs w:val="22"/>
        </w:rPr>
        <w:t>million</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bCs/>
          <w:szCs w:val="22"/>
        </w:rPr>
        <w:t>MSDS</w:t>
      </w:r>
      <w:r w:rsidRPr="00383006">
        <w:rPr>
          <w:bCs/>
          <w:szCs w:val="22"/>
        </w:rPr>
        <w:t>:</w:t>
      </w:r>
      <w:r w:rsidR="006C3405">
        <w:rPr>
          <w:bCs/>
          <w:szCs w:val="22"/>
        </w:rPr>
        <w:t xml:space="preserve">  </w:t>
      </w:r>
      <w:r w:rsidRPr="00383006">
        <w:rPr>
          <w:bCs/>
          <w:szCs w:val="22"/>
        </w:rPr>
        <w:t>material</w:t>
      </w:r>
      <w:r w:rsidR="006C3405">
        <w:rPr>
          <w:bCs/>
          <w:szCs w:val="22"/>
        </w:rPr>
        <w:t xml:space="preserve"> </w:t>
      </w:r>
      <w:r w:rsidRPr="00383006">
        <w:rPr>
          <w:bCs/>
          <w:szCs w:val="22"/>
        </w:rPr>
        <w:t>safety</w:t>
      </w:r>
      <w:r w:rsidR="006C3405">
        <w:rPr>
          <w:bCs/>
          <w:szCs w:val="22"/>
        </w:rPr>
        <w:t xml:space="preserve"> </w:t>
      </w:r>
      <w:r w:rsidRPr="00383006">
        <w:rPr>
          <w:bCs/>
          <w:szCs w:val="22"/>
        </w:rPr>
        <w:t>data</w:t>
      </w:r>
      <w:r w:rsidR="006C3405">
        <w:rPr>
          <w:bCs/>
          <w:szCs w:val="22"/>
        </w:rPr>
        <w:t xml:space="preserve"> </w:t>
      </w:r>
      <w:r w:rsidRPr="00383006">
        <w:rPr>
          <w:bCs/>
          <w:szCs w:val="22"/>
        </w:rPr>
        <w:t>sheets</w:t>
      </w:r>
    </w:p>
    <w:p w:rsidR="00383006" w:rsidRPr="00383006" w:rsidRDefault="00383006" w:rsidP="00383006">
      <w:pPr>
        <w:spacing w:after="120"/>
        <w:jc w:val="both"/>
        <w:rPr>
          <w:szCs w:val="22"/>
        </w:rPr>
      </w:pPr>
      <w:r w:rsidRPr="00383006">
        <w:rPr>
          <w:b/>
          <w:szCs w:val="22"/>
        </w:rPr>
        <w:t>MW</w:t>
      </w:r>
      <w:r w:rsidRPr="00383006">
        <w:rPr>
          <w:szCs w:val="22"/>
        </w:rPr>
        <w:t>:</w:t>
      </w:r>
      <w:r w:rsidR="006C3405">
        <w:rPr>
          <w:szCs w:val="22"/>
        </w:rPr>
        <w:t xml:space="preserve">  </w:t>
      </w:r>
      <w:r w:rsidRPr="00383006">
        <w:rPr>
          <w:szCs w:val="22"/>
        </w:rPr>
        <w:t>megawatt</w:t>
      </w:r>
    </w:p>
    <w:p w:rsidR="00383006" w:rsidRPr="00383006" w:rsidRDefault="00383006" w:rsidP="00383006">
      <w:pPr>
        <w:spacing w:after="120"/>
        <w:jc w:val="both"/>
        <w:rPr>
          <w:szCs w:val="22"/>
        </w:rPr>
      </w:pPr>
      <w:r w:rsidRPr="00383006">
        <w:rPr>
          <w:b/>
          <w:szCs w:val="22"/>
        </w:rPr>
        <w:t>NESHAP</w:t>
      </w:r>
      <w:r w:rsidRPr="00383006">
        <w:rPr>
          <w:szCs w:val="22"/>
        </w:rPr>
        <w:t>:</w:t>
      </w:r>
      <w:r w:rsidR="006C3405">
        <w:rPr>
          <w:szCs w:val="22"/>
        </w:rPr>
        <w:t xml:space="preserve">  </w:t>
      </w:r>
      <w:r w:rsidRPr="00383006">
        <w:rPr>
          <w:szCs w:val="22"/>
        </w:rPr>
        <w:t>National</w:t>
      </w:r>
      <w:r w:rsidR="006C3405">
        <w:rPr>
          <w:szCs w:val="22"/>
        </w:rPr>
        <w:t xml:space="preserve"> </w:t>
      </w:r>
      <w:r w:rsidRPr="00383006">
        <w:rPr>
          <w:szCs w:val="22"/>
        </w:rPr>
        <w:t>Emissions</w:t>
      </w:r>
      <w:r w:rsidR="006C3405">
        <w:rPr>
          <w:szCs w:val="22"/>
        </w:rPr>
        <w:t xml:space="preserve"> </w:t>
      </w:r>
      <w:r w:rsidRPr="00383006">
        <w:rPr>
          <w:szCs w:val="22"/>
        </w:rPr>
        <w:t>Standards</w:t>
      </w:r>
      <w:r w:rsidR="006C3405">
        <w:rPr>
          <w:szCs w:val="22"/>
        </w:rPr>
        <w:t xml:space="preserve"> </w:t>
      </w:r>
      <w:r w:rsidRPr="00383006">
        <w:rPr>
          <w:szCs w:val="22"/>
        </w:rPr>
        <w:t>for</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Pollutants</w:t>
      </w:r>
    </w:p>
    <w:p w:rsidR="00383006" w:rsidRPr="00383006" w:rsidRDefault="00383006" w:rsidP="00383006">
      <w:pPr>
        <w:spacing w:after="120"/>
        <w:jc w:val="both"/>
        <w:rPr>
          <w:szCs w:val="22"/>
        </w:rPr>
      </w:pPr>
      <w:r w:rsidRPr="00383006">
        <w:rPr>
          <w:b/>
          <w:szCs w:val="22"/>
        </w:rPr>
        <w:t>NO</w:t>
      </w:r>
      <w:r w:rsidRPr="00383006">
        <w:rPr>
          <w:b/>
          <w:szCs w:val="22"/>
          <w:vertAlign w:val="subscript"/>
        </w:rPr>
        <w:t>X</w:t>
      </w:r>
      <w:r w:rsidRPr="00383006">
        <w:rPr>
          <w:szCs w:val="22"/>
        </w:rPr>
        <w:t>:</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NSPS</w:t>
      </w:r>
      <w:r w:rsidRPr="00383006">
        <w:rPr>
          <w:szCs w:val="22"/>
        </w:rPr>
        <w:t>:</w:t>
      </w:r>
      <w:r w:rsidR="006C3405">
        <w:rPr>
          <w:szCs w:val="22"/>
        </w:rPr>
        <w:t xml:space="preserve">  </w:t>
      </w:r>
      <w:r w:rsidRPr="00383006">
        <w:rPr>
          <w:szCs w:val="22"/>
        </w:rPr>
        <w:t>New</w:t>
      </w:r>
      <w:r w:rsidR="006C3405">
        <w:rPr>
          <w:szCs w:val="22"/>
        </w:rPr>
        <w:t xml:space="preserve"> </w:t>
      </w:r>
      <w:r w:rsidRPr="00383006">
        <w:rPr>
          <w:szCs w:val="22"/>
        </w:rPr>
        <w:t>Source</w:t>
      </w:r>
      <w:r w:rsidR="006C3405">
        <w:rPr>
          <w:szCs w:val="22"/>
        </w:rPr>
        <w:t xml:space="preserve"> </w:t>
      </w:r>
      <w:r w:rsidRPr="00383006">
        <w:rPr>
          <w:szCs w:val="22"/>
        </w:rPr>
        <w:t>Performance</w:t>
      </w:r>
      <w:r w:rsidR="006C3405">
        <w:rPr>
          <w:szCs w:val="22"/>
        </w:rPr>
        <w:t xml:space="preserve"> </w:t>
      </w:r>
      <w:r w:rsidRPr="00383006">
        <w:rPr>
          <w:szCs w:val="22"/>
        </w:rPr>
        <w:t>Standards</w:t>
      </w:r>
    </w:p>
    <w:p w:rsidR="00383006" w:rsidRPr="00383006" w:rsidRDefault="00383006" w:rsidP="00383006">
      <w:pPr>
        <w:spacing w:after="120"/>
        <w:jc w:val="both"/>
        <w:rPr>
          <w:szCs w:val="22"/>
        </w:rPr>
      </w:pPr>
      <w:r w:rsidRPr="00383006">
        <w:rPr>
          <w:b/>
          <w:szCs w:val="22"/>
        </w:rPr>
        <w:t>O&amp;M</w:t>
      </w:r>
      <w:r w:rsidRPr="00383006">
        <w:rPr>
          <w:szCs w:val="22"/>
        </w:rPr>
        <w:t>:</w:t>
      </w:r>
      <w:r w:rsidR="006C3405">
        <w:rPr>
          <w:szCs w:val="22"/>
        </w:rPr>
        <w:t xml:space="preserve">  </w:t>
      </w:r>
      <w:r w:rsidRPr="00383006">
        <w:rPr>
          <w:szCs w:val="22"/>
        </w:rPr>
        <w:t>operation</w:t>
      </w:r>
      <w:r w:rsidR="006C3405">
        <w:rPr>
          <w:szCs w:val="22"/>
        </w:rPr>
        <w:t xml:space="preserve"> </w:t>
      </w:r>
      <w:r w:rsidRPr="00383006">
        <w:rPr>
          <w:szCs w:val="22"/>
        </w:rPr>
        <w:t>and</w:t>
      </w:r>
      <w:r w:rsidR="006C3405">
        <w:rPr>
          <w:szCs w:val="22"/>
        </w:rPr>
        <w:t xml:space="preserve"> </w:t>
      </w:r>
      <w:r w:rsidRPr="00383006">
        <w:rPr>
          <w:szCs w:val="22"/>
        </w:rPr>
        <w:t>maintenance</w:t>
      </w:r>
    </w:p>
    <w:p w:rsidR="00383006" w:rsidRPr="00383006" w:rsidRDefault="00383006" w:rsidP="00383006">
      <w:pPr>
        <w:spacing w:after="120"/>
        <w:jc w:val="both"/>
        <w:rPr>
          <w:szCs w:val="22"/>
        </w:rPr>
      </w:pPr>
      <w:r w:rsidRPr="00383006">
        <w:rPr>
          <w:b/>
          <w:szCs w:val="22"/>
        </w:rPr>
        <w:lastRenderedPageBreak/>
        <w:t>O</w:t>
      </w:r>
      <w:r w:rsidRPr="00383006">
        <w:rPr>
          <w:b/>
          <w:szCs w:val="22"/>
          <w:vertAlign w:val="subscript"/>
        </w:rPr>
        <w:t>2</w:t>
      </w:r>
      <w:r w:rsidRPr="00383006">
        <w:rPr>
          <w:szCs w:val="22"/>
        </w:rPr>
        <w:t>:</w:t>
      </w:r>
      <w:r w:rsidR="006C3405">
        <w:rPr>
          <w:szCs w:val="22"/>
        </w:rPr>
        <w:t xml:space="preserve">  </w:t>
      </w:r>
      <w:r w:rsidRPr="00383006">
        <w:rPr>
          <w:szCs w:val="22"/>
        </w:rPr>
        <w:t>oxygen</w:t>
      </w:r>
    </w:p>
    <w:p w:rsidR="00383006" w:rsidRPr="00383006" w:rsidRDefault="00383006" w:rsidP="00383006">
      <w:pPr>
        <w:spacing w:after="120"/>
        <w:jc w:val="both"/>
        <w:rPr>
          <w:szCs w:val="22"/>
        </w:rPr>
      </w:pPr>
      <w:r w:rsidRPr="00383006">
        <w:rPr>
          <w:b/>
          <w:szCs w:val="22"/>
        </w:rPr>
        <w:t>Pb</w:t>
      </w:r>
      <w:r w:rsidRPr="00383006">
        <w:rPr>
          <w:szCs w:val="22"/>
        </w:rPr>
        <w:t>:</w:t>
      </w:r>
      <w:r w:rsidR="006C3405">
        <w:rPr>
          <w:szCs w:val="22"/>
        </w:rPr>
        <w:t xml:space="preserve">  </w:t>
      </w:r>
      <w:r w:rsidRPr="00383006">
        <w:rPr>
          <w:szCs w:val="22"/>
        </w:rPr>
        <w:t>lead</w:t>
      </w:r>
    </w:p>
    <w:p w:rsidR="00383006" w:rsidRPr="00383006" w:rsidRDefault="00383006" w:rsidP="00383006">
      <w:pPr>
        <w:spacing w:after="120"/>
        <w:jc w:val="both"/>
        <w:rPr>
          <w:szCs w:val="22"/>
        </w:rPr>
      </w:pPr>
      <w:r w:rsidRPr="00383006">
        <w:rPr>
          <w:b/>
          <w:szCs w:val="22"/>
        </w:rPr>
        <w:t>PM</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rPr>
      </w:pPr>
      <w:r w:rsidRPr="00383006">
        <w:rPr>
          <w:b/>
          <w:szCs w:val="22"/>
        </w:rPr>
        <w:t>PM</w:t>
      </w:r>
      <w:r w:rsidRPr="00383006">
        <w:rPr>
          <w:b/>
          <w:szCs w:val="22"/>
          <w:vertAlign w:val="subscript"/>
        </w:rPr>
        <w:t>10</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r w:rsidR="006C3405">
        <w:rPr>
          <w:szCs w:val="22"/>
        </w:rPr>
        <w:t xml:space="preserve"> </w:t>
      </w:r>
      <w:r w:rsidRPr="00383006">
        <w:rPr>
          <w:szCs w:val="22"/>
        </w:rPr>
        <w:t>with</w:t>
      </w:r>
      <w:r w:rsidR="006C3405">
        <w:rPr>
          <w:szCs w:val="22"/>
        </w:rPr>
        <w:t xml:space="preserve"> </w:t>
      </w:r>
      <w:r w:rsidRPr="00383006">
        <w:rPr>
          <w:szCs w:val="22"/>
        </w:rPr>
        <w:t>a</w:t>
      </w:r>
      <w:r w:rsidR="006C3405">
        <w:rPr>
          <w:szCs w:val="22"/>
        </w:rPr>
        <w:t xml:space="preserve"> </w:t>
      </w:r>
      <w:r w:rsidRPr="00383006">
        <w:rPr>
          <w:szCs w:val="22"/>
        </w:rPr>
        <w:t>mean</w:t>
      </w:r>
      <w:r w:rsidR="006C3405">
        <w:rPr>
          <w:szCs w:val="22"/>
        </w:rPr>
        <w:t xml:space="preserve"> </w:t>
      </w:r>
      <w:r w:rsidRPr="00383006">
        <w:rPr>
          <w:szCs w:val="22"/>
        </w:rPr>
        <w:t>aerodynamic</w:t>
      </w:r>
      <w:r w:rsidR="006C3405">
        <w:rPr>
          <w:szCs w:val="22"/>
        </w:rPr>
        <w:t xml:space="preserve"> </w:t>
      </w:r>
      <w:r w:rsidRPr="00383006">
        <w:rPr>
          <w:szCs w:val="22"/>
        </w:rPr>
        <w:t>diameter</w:t>
      </w:r>
      <w:r w:rsidR="006C3405">
        <w:rPr>
          <w:szCs w:val="22"/>
        </w:rPr>
        <w:t xml:space="preserve"> </w:t>
      </w:r>
      <w:r w:rsidRPr="00383006">
        <w:rPr>
          <w:szCs w:val="22"/>
        </w:rPr>
        <w:t>of</w:t>
      </w:r>
      <w:r w:rsidR="006C3405">
        <w:rPr>
          <w:szCs w:val="22"/>
        </w:rPr>
        <w:t xml:space="preserve"> </w:t>
      </w:r>
      <w:r w:rsidRPr="00383006">
        <w:rPr>
          <w:szCs w:val="22"/>
        </w:rPr>
        <w:t>10</w:t>
      </w:r>
      <w:r w:rsidR="006C3405">
        <w:rPr>
          <w:szCs w:val="22"/>
        </w:rPr>
        <w:t xml:space="preserve"> </w:t>
      </w:r>
      <w:r w:rsidRPr="00383006">
        <w:rPr>
          <w:szCs w:val="22"/>
        </w:rPr>
        <w:t>microns</w:t>
      </w:r>
      <w:r w:rsidR="006C3405">
        <w:rPr>
          <w:szCs w:val="22"/>
        </w:rPr>
        <w:t xml:space="preserve"> </w:t>
      </w:r>
      <w:r w:rsidRPr="00383006">
        <w:rPr>
          <w:szCs w:val="22"/>
        </w:rPr>
        <w:t>or</w:t>
      </w:r>
      <w:r w:rsidR="006C3405">
        <w:rPr>
          <w:szCs w:val="22"/>
        </w:rPr>
        <w:t xml:space="preserve"> </w:t>
      </w:r>
      <w:r w:rsidRPr="00383006">
        <w:rPr>
          <w:szCs w:val="22"/>
        </w:rPr>
        <w:t>less</w:t>
      </w:r>
    </w:p>
    <w:p w:rsidR="00383006" w:rsidRPr="00383006" w:rsidRDefault="00383006" w:rsidP="00383006">
      <w:pPr>
        <w:spacing w:after="120"/>
        <w:jc w:val="both"/>
        <w:rPr>
          <w:szCs w:val="22"/>
        </w:rPr>
      </w:pPr>
      <w:r w:rsidRPr="00383006">
        <w:rPr>
          <w:b/>
          <w:szCs w:val="22"/>
        </w:rPr>
        <w:t>PSD</w:t>
      </w:r>
      <w:r w:rsidRPr="00383006">
        <w:rPr>
          <w:szCs w:val="22"/>
        </w:rPr>
        <w:t>:</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signifi9cant</w:t>
      </w:r>
      <w:r w:rsidR="006C3405">
        <w:rPr>
          <w:szCs w:val="22"/>
        </w:rPr>
        <w:t xml:space="preserve"> </w:t>
      </w:r>
      <w:r w:rsidRPr="00383006">
        <w:rPr>
          <w:szCs w:val="22"/>
        </w:rPr>
        <w:t>deterioration</w:t>
      </w:r>
    </w:p>
    <w:p w:rsidR="00383006" w:rsidRPr="00383006" w:rsidRDefault="00383006" w:rsidP="00383006">
      <w:pPr>
        <w:spacing w:after="120"/>
        <w:jc w:val="both"/>
        <w:rPr>
          <w:szCs w:val="22"/>
        </w:rPr>
      </w:pPr>
      <w:proofErr w:type="gramStart"/>
      <w:r w:rsidRPr="00383006">
        <w:rPr>
          <w:b/>
          <w:szCs w:val="22"/>
        </w:rPr>
        <w:t>psi</w:t>
      </w:r>
      <w:proofErr w:type="gramEnd"/>
      <w:r w:rsidRPr="00383006">
        <w:rPr>
          <w:szCs w:val="22"/>
        </w:rPr>
        <w:t>:</w:t>
      </w:r>
      <w:r w:rsidR="006C3405">
        <w:rPr>
          <w:szCs w:val="22"/>
        </w:rPr>
        <w:t xml:space="preserve">  </w:t>
      </w:r>
      <w:r w:rsidRPr="00383006">
        <w:rPr>
          <w:szCs w:val="22"/>
        </w:rPr>
        <w:t>pounds</w:t>
      </w:r>
      <w:r w:rsidR="006C3405">
        <w:rPr>
          <w:szCs w:val="22"/>
        </w:rPr>
        <w:t xml:space="preserve"> </w:t>
      </w:r>
      <w:r w:rsidRPr="00383006">
        <w:rPr>
          <w:szCs w:val="22"/>
        </w:rPr>
        <w:t>per</w:t>
      </w:r>
      <w:r w:rsidR="006C3405">
        <w:rPr>
          <w:szCs w:val="22"/>
        </w:rPr>
        <w:t xml:space="preserve"> </w:t>
      </w:r>
      <w:r w:rsidRPr="00383006">
        <w:rPr>
          <w:szCs w:val="22"/>
        </w:rPr>
        <w:t>square</w:t>
      </w:r>
      <w:r w:rsidR="006C3405">
        <w:rPr>
          <w:szCs w:val="22"/>
        </w:rPr>
        <w:t xml:space="preserve"> </w:t>
      </w:r>
      <w:r w:rsidRPr="00383006">
        <w:rPr>
          <w:szCs w:val="22"/>
        </w:rPr>
        <w:t>inch</w:t>
      </w:r>
    </w:p>
    <w:p w:rsidR="00383006" w:rsidRPr="00383006" w:rsidRDefault="00383006" w:rsidP="00383006">
      <w:pPr>
        <w:spacing w:after="120"/>
        <w:jc w:val="both"/>
        <w:rPr>
          <w:szCs w:val="22"/>
        </w:rPr>
      </w:pPr>
      <w:r w:rsidRPr="00383006">
        <w:rPr>
          <w:b/>
          <w:szCs w:val="22"/>
        </w:rPr>
        <w:t>PTE</w:t>
      </w:r>
      <w:r w:rsidRPr="00383006">
        <w:rPr>
          <w:szCs w:val="22"/>
        </w:rPr>
        <w:t>:</w:t>
      </w:r>
      <w:r w:rsidR="006C3405">
        <w:rPr>
          <w:szCs w:val="22"/>
        </w:rPr>
        <w:t xml:space="preserve">  </w:t>
      </w:r>
      <w:r w:rsidRPr="00383006">
        <w:rPr>
          <w:szCs w:val="22"/>
        </w:rPr>
        <w:t>potential</w:t>
      </w:r>
      <w:r w:rsidR="006C3405">
        <w:rPr>
          <w:szCs w:val="22"/>
        </w:rPr>
        <w:t xml:space="preserve"> </w:t>
      </w:r>
      <w:r w:rsidRPr="00383006">
        <w:rPr>
          <w:szCs w:val="22"/>
        </w:rPr>
        <w:t>to</w:t>
      </w:r>
      <w:r w:rsidR="006C3405">
        <w:rPr>
          <w:szCs w:val="22"/>
        </w:rPr>
        <w:t xml:space="preserve"> </w:t>
      </w:r>
      <w:r w:rsidRPr="00383006">
        <w:rPr>
          <w:szCs w:val="22"/>
        </w:rPr>
        <w:t>emit</w:t>
      </w:r>
    </w:p>
    <w:p w:rsidR="00383006" w:rsidRPr="00383006" w:rsidRDefault="00383006" w:rsidP="00383006">
      <w:pPr>
        <w:spacing w:after="120"/>
        <w:jc w:val="both"/>
        <w:rPr>
          <w:szCs w:val="22"/>
        </w:rPr>
      </w:pPr>
      <w:r w:rsidRPr="00383006">
        <w:rPr>
          <w:b/>
          <w:szCs w:val="22"/>
        </w:rPr>
        <w:t>RATA</w:t>
      </w:r>
      <w:r w:rsidRPr="00383006">
        <w:rPr>
          <w:szCs w:val="22"/>
        </w:rPr>
        <w:t>:</w:t>
      </w:r>
      <w:r w:rsidR="006C3405">
        <w:rPr>
          <w:szCs w:val="22"/>
        </w:rPr>
        <w:t xml:space="preserve">  </w:t>
      </w:r>
      <w:r w:rsidRPr="00383006">
        <w:rPr>
          <w:szCs w:val="22"/>
        </w:rPr>
        <w:t>relative</w:t>
      </w:r>
      <w:r w:rsidR="006C3405">
        <w:rPr>
          <w:szCs w:val="22"/>
        </w:rPr>
        <w:t xml:space="preserve"> </w:t>
      </w:r>
      <w:r w:rsidRPr="00383006">
        <w:rPr>
          <w:szCs w:val="22"/>
        </w:rPr>
        <w:t>accuracy</w:t>
      </w:r>
      <w:r w:rsidR="006C3405">
        <w:rPr>
          <w:szCs w:val="22"/>
        </w:rPr>
        <w:t xml:space="preserve"> </w:t>
      </w:r>
      <w:r w:rsidRPr="00383006">
        <w:rPr>
          <w:szCs w:val="22"/>
        </w:rPr>
        <w:t>test</w:t>
      </w:r>
      <w:r w:rsidR="006C3405">
        <w:rPr>
          <w:szCs w:val="22"/>
        </w:rPr>
        <w:t xml:space="preserve"> </w:t>
      </w:r>
      <w:r w:rsidRPr="00383006">
        <w:rPr>
          <w:szCs w:val="22"/>
        </w:rPr>
        <w:t>audit</w:t>
      </w:r>
    </w:p>
    <w:p w:rsidR="00383006" w:rsidRPr="00383006" w:rsidRDefault="00383006" w:rsidP="00383006">
      <w:pPr>
        <w:spacing w:after="120"/>
        <w:jc w:val="both"/>
        <w:rPr>
          <w:szCs w:val="22"/>
        </w:rPr>
      </w:pPr>
      <w:r w:rsidRPr="00383006">
        <w:rPr>
          <w:b/>
          <w:szCs w:val="22"/>
        </w:rPr>
        <w:t>SAM</w:t>
      </w:r>
      <w:r w:rsidRPr="00383006">
        <w:rPr>
          <w:szCs w:val="22"/>
        </w:rPr>
        <w:t>:</w:t>
      </w:r>
      <w:r w:rsidR="006C3405">
        <w:rPr>
          <w:szCs w:val="22"/>
        </w:rPr>
        <w:t xml:space="preserve">  </w:t>
      </w:r>
      <w:r w:rsidRPr="00383006">
        <w:rPr>
          <w:szCs w:val="22"/>
        </w:rPr>
        <w:t>sulfuric</w:t>
      </w:r>
      <w:r w:rsidR="006C3405">
        <w:rPr>
          <w:szCs w:val="22"/>
        </w:rPr>
        <w:t xml:space="preserve"> </w:t>
      </w:r>
      <w:r w:rsidRPr="00383006">
        <w:rPr>
          <w:szCs w:val="22"/>
        </w:rPr>
        <w:t>acid</w:t>
      </w:r>
      <w:r w:rsidR="006C3405">
        <w:rPr>
          <w:szCs w:val="22"/>
        </w:rPr>
        <w:t xml:space="preserve"> </w:t>
      </w:r>
      <w:r w:rsidRPr="00383006">
        <w:rPr>
          <w:szCs w:val="22"/>
        </w:rPr>
        <w:t>mist</w:t>
      </w:r>
    </w:p>
    <w:p w:rsidR="00383006" w:rsidRPr="00383006" w:rsidRDefault="00383006" w:rsidP="00383006">
      <w:pPr>
        <w:spacing w:after="120"/>
        <w:jc w:val="both"/>
        <w:rPr>
          <w:szCs w:val="22"/>
        </w:rPr>
      </w:pPr>
      <w:proofErr w:type="gramStart"/>
      <w:r w:rsidRPr="00383006">
        <w:rPr>
          <w:b/>
          <w:szCs w:val="22"/>
        </w:rPr>
        <w:t>scf</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scfm</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SIC</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industrial</w:t>
      </w:r>
      <w:r w:rsidR="006C3405">
        <w:rPr>
          <w:szCs w:val="22"/>
        </w:rPr>
        <w:t xml:space="preserve"> </w:t>
      </w:r>
      <w:r w:rsidRPr="00383006">
        <w:rPr>
          <w:szCs w:val="22"/>
        </w:rPr>
        <w:t>classification</w:t>
      </w:r>
      <w:r w:rsidR="006C3405">
        <w:rPr>
          <w:szCs w:val="22"/>
        </w:rPr>
        <w:t xml:space="preserve"> </w:t>
      </w:r>
      <w:r w:rsidRPr="00383006">
        <w:rPr>
          <w:szCs w:val="22"/>
        </w:rPr>
        <w:t>code</w:t>
      </w:r>
    </w:p>
    <w:p w:rsidR="00383006" w:rsidRPr="00383006" w:rsidRDefault="00383006" w:rsidP="00383006">
      <w:pPr>
        <w:spacing w:after="120"/>
        <w:jc w:val="both"/>
        <w:rPr>
          <w:szCs w:val="22"/>
        </w:rPr>
      </w:pPr>
      <w:r w:rsidRPr="00383006">
        <w:rPr>
          <w:b/>
          <w:szCs w:val="22"/>
        </w:rPr>
        <w:t>SNCR</w:t>
      </w:r>
      <w:r w:rsidRPr="00383006">
        <w:rPr>
          <w:szCs w:val="22"/>
        </w:rPr>
        <w:t>:</w:t>
      </w:r>
      <w:r w:rsidR="006C3405">
        <w:rPr>
          <w:szCs w:val="22"/>
        </w:rPr>
        <w:t xml:space="preserve">  </w:t>
      </w:r>
      <w:r w:rsidRPr="00383006">
        <w:rPr>
          <w:szCs w:val="22"/>
        </w:rPr>
        <w:t>selective</w:t>
      </w:r>
      <w:r w:rsidR="006C3405">
        <w:rPr>
          <w:szCs w:val="22"/>
        </w:rPr>
        <w:t xml:space="preserve"> </w:t>
      </w:r>
      <w:r w:rsidRPr="00383006">
        <w:rPr>
          <w:szCs w:val="22"/>
        </w:rPr>
        <w:t>non-catalytic</w:t>
      </w:r>
      <w:r w:rsidR="006C3405">
        <w:rPr>
          <w:szCs w:val="22"/>
        </w:rPr>
        <w:t xml:space="preserve"> </w:t>
      </w:r>
      <w:r w:rsidRPr="00383006">
        <w:rPr>
          <w:szCs w:val="22"/>
        </w:rPr>
        <w:t>reduction</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used</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emissions</w:t>
      </w:r>
      <w:r w:rsidR="006C3405">
        <w:rPr>
          <w:szCs w:val="22"/>
        </w:rPr>
        <w:t xml:space="preserve"> </w:t>
      </w:r>
      <w:r w:rsidRPr="00383006">
        <w:rPr>
          <w:szCs w:val="22"/>
        </w:rPr>
        <w:t>of</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SO</w:t>
      </w:r>
      <w:r w:rsidRPr="00383006">
        <w:rPr>
          <w:b/>
          <w:szCs w:val="22"/>
          <w:vertAlign w:val="subscript"/>
        </w:rPr>
        <w:t>2</w:t>
      </w:r>
      <w:r w:rsidRPr="00383006">
        <w:rPr>
          <w:szCs w:val="22"/>
        </w:rPr>
        <w:t>:</w:t>
      </w:r>
      <w:r w:rsidR="006C3405">
        <w:rPr>
          <w:szCs w:val="22"/>
        </w:rPr>
        <w:t xml:space="preserve">  </w:t>
      </w:r>
      <w:r w:rsidRPr="00383006">
        <w:rPr>
          <w:szCs w:val="22"/>
        </w:rPr>
        <w:t>sulfur</w:t>
      </w:r>
      <w:r w:rsidR="006C3405">
        <w:rPr>
          <w:szCs w:val="22"/>
        </w:rPr>
        <w:t xml:space="preserve"> </w:t>
      </w:r>
      <w:r w:rsidRPr="00383006">
        <w:rPr>
          <w:szCs w:val="22"/>
        </w:rPr>
        <w:t>dioxide</w:t>
      </w:r>
    </w:p>
    <w:p w:rsidR="00383006" w:rsidRPr="00383006" w:rsidRDefault="00383006" w:rsidP="00383006">
      <w:pPr>
        <w:spacing w:after="120"/>
        <w:jc w:val="both"/>
        <w:rPr>
          <w:szCs w:val="22"/>
        </w:rPr>
      </w:pPr>
      <w:r w:rsidRPr="00383006">
        <w:rPr>
          <w:b/>
          <w:szCs w:val="22"/>
        </w:rPr>
        <w:t>TPH</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hour</w:t>
      </w:r>
    </w:p>
    <w:p w:rsidR="00383006" w:rsidRPr="00383006" w:rsidRDefault="00383006" w:rsidP="00383006">
      <w:pPr>
        <w:spacing w:after="120"/>
        <w:jc w:val="both"/>
        <w:rPr>
          <w:szCs w:val="22"/>
        </w:rPr>
      </w:pPr>
      <w:r w:rsidRPr="00383006">
        <w:rPr>
          <w:b/>
          <w:szCs w:val="22"/>
        </w:rPr>
        <w:t>TPY</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year</w:t>
      </w:r>
    </w:p>
    <w:p w:rsidR="00383006" w:rsidRPr="00383006" w:rsidRDefault="00383006" w:rsidP="00383006">
      <w:pPr>
        <w:spacing w:after="120"/>
        <w:jc w:val="both"/>
        <w:rPr>
          <w:szCs w:val="22"/>
        </w:rPr>
      </w:pPr>
      <w:r w:rsidRPr="00383006">
        <w:rPr>
          <w:b/>
          <w:szCs w:val="22"/>
        </w:rPr>
        <w:t>UTM</w:t>
      </w:r>
      <w:r w:rsidRPr="00383006">
        <w:rPr>
          <w:szCs w:val="22"/>
        </w:rPr>
        <w:t>:</w:t>
      </w:r>
      <w:r w:rsidR="006C3405">
        <w:rPr>
          <w:szCs w:val="22"/>
        </w:rPr>
        <w:t xml:space="preserve">  </w:t>
      </w:r>
      <w:r w:rsidRPr="00383006">
        <w:rPr>
          <w:szCs w:val="22"/>
        </w:rPr>
        <w:t>Universal</w:t>
      </w:r>
      <w:r w:rsidR="006C3405">
        <w:rPr>
          <w:szCs w:val="22"/>
        </w:rPr>
        <w:t xml:space="preserve"> </w:t>
      </w:r>
      <w:r w:rsidRPr="00383006">
        <w:rPr>
          <w:szCs w:val="22"/>
        </w:rPr>
        <w:t>Transverse</w:t>
      </w:r>
      <w:r w:rsidR="006C3405">
        <w:rPr>
          <w:szCs w:val="22"/>
        </w:rPr>
        <w:t xml:space="preserve"> </w:t>
      </w:r>
      <w:r w:rsidRPr="00383006">
        <w:rPr>
          <w:szCs w:val="22"/>
        </w:rPr>
        <w:t>Mercator</w:t>
      </w:r>
      <w:r w:rsidR="006C3405">
        <w:rPr>
          <w:szCs w:val="22"/>
        </w:rPr>
        <w:t xml:space="preserve"> </w:t>
      </w:r>
      <w:r w:rsidRPr="00383006">
        <w:rPr>
          <w:szCs w:val="22"/>
        </w:rPr>
        <w:t>coordinate</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VE</w:t>
      </w:r>
      <w:r w:rsidRPr="00383006">
        <w:rPr>
          <w:szCs w:val="22"/>
        </w:rPr>
        <w:t>:</w:t>
      </w:r>
      <w:r w:rsidR="006C3405">
        <w:rPr>
          <w:szCs w:val="22"/>
        </w:rPr>
        <w:t xml:space="preserve">  </w:t>
      </w:r>
      <w:r w:rsidRPr="00383006">
        <w:rPr>
          <w:szCs w:val="22"/>
        </w:rPr>
        <w:t>visible</w:t>
      </w:r>
      <w:r w:rsidR="006C3405">
        <w:rPr>
          <w:szCs w:val="22"/>
        </w:rPr>
        <w:t xml:space="preserve"> </w:t>
      </w:r>
      <w:r w:rsidRPr="00383006">
        <w:rPr>
          <w:szCs w:val="22"/>
        </w:rPr>
        <w:t>emissions</w:t>
      </w:r>
    </w:p>
    <w:p w:rsidR="00383006" w:rsidRPr="00383006" w:rsidRDefault="00383006" w:rsidP="00383006">
      <w:pPr>
        <w:spacing w:after="120"/>
        <w:jc w:val="both"/>
        <w:rPr>
          <w:szCs w:val="22"/>
        </w:rPr>
      </w:pPr>
      <w:r w:rsidRPr="00383006">
        <w:rPr>
          <w:b/>
          <w:szCs w:val="22"/>
        </w:rPr>
        <w:t>VOC</w:t>
      </w:r>
      <w:r w:rsidRPr="00383006">
        <w:rPr>
          <w:szCs w:val="22"/>
        </w:rPr>
        <w:t>:</w:t>
      </w:r>
      <w:r w:rsidR="006C3405">
        <w:rPr>
          <w:szCs w:val="22"/>
        </w:rPr>
        <w:t xml:space="preserve">  </w:t>
      </w:r>
      <w:r w:rsidRPr="00383006">
        <w:rPr>
          <w:szCs w:val="22"/>
        </w:rPr>
        <w:t>volatile</w:t>
      </w:r>
      <w:r w:rsidR="006C3405">
        <w:rPr>
          <w:szCs w:val="22"/>
        </w:rPr>
        <w:t xml:space="preserve"> </w:t>
      </w:r>
      <w:r w:rsidRPr="00383006">
        <w:rPr>
          <w:szCs w:val="22"/>
        </w:rPr>
        <w:t>organic</w:t>
      </w:r>
      <w:r w:rsidR="006C3405">
        <w:rPr>
          <w:szCs w:val="22"/>
        </w:rPr>
        <w:t xml:space="preserve"> </w:t>
      </w:r>
      <w:r w:rsidRPr="00383006">
        <w:rPr>
          <w:szCs w:val="22"/>
        </w:rPr>
        <w:t>compounds</w:t>
      </w:r>
    </w:p>
    <w:p w:rsidR="00383006" w:rsidRPr="00DD68D1" w:rsidRDefault="00383006" w:rsidP="00383006">
      <w:pPr>
        <w:spacing w:after="120"/>
        <w:ind w:left="504" w:hanging="504"/>
        <w:jc w:val="both"/>
        <w:rPr>
          <w:sz w:val="20"/>
        </w:rPr>
        <w:sectPr w:rsidR="00383006" w:rsidRPr="00DD68D1" w:rsidSect="00956C2D">
          <w:type w:val="continuous"/>
          <w:pgSz w:w="12240" w:h="15840" w:code="1"/>
          <w:pgMar w:top="720" w:right="1152" w:bottom="720" w:left="1152" w:header="720" w:footer="720" w:gutter="0"/>
          <w:paperSrc w:first="15" w:other="15"/>
          <w:pgNumType w:start="1"/>
          <w:cols w:num="2" w:space="720"/>
        </w:sectPr>
      </w:pPr>
    </w:p>
    <w:p w:rsidR="000E57CD" w:rsidRPr="000E57CD" w:rsidRDefault="000E57CD" w:rsidP="00A744CD">
      <w:pPr>
        <w:widowControl w:val="0"/>
        <w:spacing w:after="60"/>
        <w:rPr>
          <w:bCs/>
          <w:iCs/>
          <w:szCs w:val="22"/>
        </w:rPr>
      </w:pPr>
      <w:r w:rsidRPr="000E57CD">
        <w:rPr>
          <w:bCs/>
          <w:iCs/>
          <w:szCs w:val="22"/>
        </w:rPr>
        <w:lastRenderedPageBreak/>
        <w:t xml:space="preserve">Unless otherwise specified in the permit, the following testing requirements apply to all emissions units at the </w:t>
      </w:r>
      <w:r w:rsidR="00A121FA">
        <w:rPr>
          <w:bCs/>
          <w:iCs/>
          <w:szCs w:val="22"/>
        </w:rPr>
        <w:t>Klausner Suwannee Saw Mill</w:t>
      </w:r>
      <w:r w:rsidR="000068A1">
        <w:rPr>
          <w:bCs/>
          <w:iCs/>
          <w:szCs w:val="22"/>
        </w:rPr>
        <w:t xml:space="preserve"> project</w:t>
      </w:r>
      <w:r w:rsidRPr="000E57CD">
        <w:rPr>
          <w:bCs/>
          <w:iCs/>
          <w:szCs w:val="22"/>
        </w:rPr>
        <w:t>.</w:t>
      </w:r>
    </w:p>
    <w:p w:rsidR="000E57CD" w:rsidRPr="000E57CD" w:rsidRDefault="000E57CD" w:rsidP="00A744CD">
      <w:pPr>
        <w:widowControl w:val="0"/>
        <w:spacing w:after="60"/>
        <w:rPr>
          <w:b/>
          <w:caps/>
          <w:szCs w:val="22"/>
        </w:rPr>
      </w:pPr>
      <w:r w:rsidRPr="000E57CD">
        <w:rPr>
          <w:b/>
          <w:caps/>
          <w:szCs w:val="22"/>
        </w:rPr>
        <w:t>Compliance Testing Requirements</w:t>
      </w:r>
    </w:p>
    <w:p w:rsidR="000E57CD" w:rsidRPr="000E57CD" w:rsidRDefault="000E57CD" w:rsidP="00A744CD">
      <w:pPr>
        <w:widowControl w:val="0"/>
        <w:numPr>
          <w:ilvl w:val="0"/>
          <w:numId w:val="16"/>
        </w:numPr>
        <w:spacing w:after="60"/>
        <w:rPr>
          <w:szCs w:val="22"/>
        </w:rPr>
      </w:pPr>
      <w:r w:rsidRPr="000E57CD">
        <w:rPr>
          <w:szCs w:val="22"/>
          <w:u w:val="single"/>
        </w:rPr>
        <w:t xml:space="preserve">Operating Rate </w:t>
      </w:r>
      <w:proofErr w:type="gramStart"/>
      <w:r w:rsidRPr="000E57CD">
        <w:rPr>
          <w:szCs w:val="22"/>
          <w:u w:val="single"/>
        </w:rPr>
        <w:t>During</w:t>
      </w:r>
      <w:proofErr w:type="gramEnd"/>
      <w:r w:rsidRPr="000E57CD">
        <w:rPr>
          <w:szCs w:val="22"/>
          <w:u w:val="single"/>
        </w:rPr>
        <w:t xml:space="preserve"> Testing</w:t>
      </w:r>
      <w:r w:rsidRPr="000E57CD">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E57CD" w:rsidRPr="000E57CD" w:rsidRDefault="000E57CD" w:rsidP="00A744CD">
      <w:pPr>
        <w:widowControl w:val="0"/>
        <w:numPr>
          <w:ilvl w:val="0"/>
          <w:numId w:val="16"/>
        </w:numPr>
        <w:spacing w:after="60"/>
        <w:rPr>
          <w:szCs w:val="22"/>
        </w:rPr>
      </w:pPr>
      <w:r w:rsidRPr="000E57CD">
        <w:rPr>
          <w:szCs w:val="22"/>
          <w:u w:val="single"/>
        </w:rPr>
        <w:t>Applicable Test Procedures - Opacity Compliance Tests</w:t>
      </w:r>
      <w:r w:rsidRPr="000E57CD">
        <w:rPr>
          <w:szCs w:val="22"/>
        </w:rPr>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E57CD" w:rsidRPr="000E57CD" w:rsidRDefault="000E57CD" w:rsidP="00A744CD">
      <w:pPr>
        <w:widowControl w:val="0"/>
        <w:numPr>
          <w:ilvl w:val="0"/>
          <w:numId w:val="17"/>
        </w:numPr>
        <w:autoSpaceDE w:val="0"/>
        <w:autoSpaceDN w:val="0"/>
        <w:adjustRightInd w:val="0"/>
        <w:spacing w:after="60"/>
        <w:rPr>
          <w:szCs w:val="22"/>
        </w:rPr>
      </w:pPr>
      <w:r w:rsidRPr="000E57CD">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E57CD" w:rsidRPr="000E57CD" w:rsidRDefault="000E57CD" w:rsidP="00A744CD">
      <w:pPr>
        <w:widowControl w:val="0"/>
        <w:numPr>
          <w:ilvl w:val="0"/>
          <w:numId w:val="17"/>
        </w:numPr>
        <w:autoSpaceDE w:val="0"/>
        <w:autoSpaceDN w:val="0"/>
        <w:adjustRightInd w:val="0"/>
        <w:spacing w:after="60"/>
        <w:rPr>
          <w:szCs w:val="22"/>
        </w:rPr>
      </w:pPr>
      <w:r w:rsidRPr="000E57CD">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E57CD" w:rsidRPr="000E57CD" w:rsidRDefault="000E57CD" w:rsidP="00A744CD">
      <w:pPr>
        <w:widowControl w:val="0"/>
        <w:numPr>
          <w:ilvl w:val="0"/>
          <w:numId w:val="17"/>
        </w:numPr>
        <w:autoSpaceDE w:val="0"/>
        <w:autoSpaceDN w:val="0"/>
        <w:adjustRightInd w:val="0"/>
        <w:spacing w:after="60"/>
        <w:rPr>
          <w:szCs w:val="22"/>
        </w:rPr>
      </w:pPr>
      <w:r w:rsidRPr="000E57CD">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0E57CD" w:rsidRPr="000E57CD" w:rsidRDefault="000E57CD" w:rsidP="00A744CD">
      <w:pPr>
        <w:widowControl w:val="0"/>
        <w:spacing w:after="60"/>
        <w:ind w:left="360"/>
        <w:rPr>
          <w:szCs w:val="22"/>
        </w:rPr>
      </w:pPr>
      <w:r w:rsidRPr="000E57CD">
        <w:rPr>
          <w:szCs w:val="22"/>
        </w:rPr>
        <w:t>[Rule 62-297.310(4), F.A.C.]</w:t>
      </w:r>
    </w:p>
    <w:p w:rsidR="000E57CD" w:rsidRPr="000E57CD" w:rsidRDefault="000E57CD" w:rsidP="00A744CD">
      <w:pPr>
        <w:widowControl w:val="0"/>
        <w:numPr>
          <w:ilvl w:val="0"/>
          <w:numId w:val="16"/>
        </w:numPr>
        <w:spacing w:after="60"/>
        <w:rPr>
          <w:szCs w:val="22"/>
          <w:u w:val="single"/>
        </w:rPr>
      </w:pPr>
      <w:r w:rsidRPr="000E57CD">
        <w:rPr>
          <w:szCs w:val="22"/>
          <w:u w:val="single"/>
        </w:rPr>
        <w:t>Determination of Process Variables</w:t>
      </w:r>
    </w:p>
    <w:p w:rsidR="000E57CD" w:rsidRPr="000E57CD" w:rsidRDefault="000E57CD" w:rsidP="00A744CD">
      <w:pPr>
        <w:widowControl w:val="0"/>
        <w:numPr>
          <w:ilvl w:val="0"/>
          <w:numId w:val="3"/>
        </w:numPr>
        <w:tabs>
          <w:tab w:val="num" w:pos="720"/>
        </w:tabs>
        <w:spacing w:after="60"/>
        <w:ind w:left="720"/>
        <w:rPr>
          <w:szCs w:val="22"/>
        </w:rPr>
      </w:pPr>
      <w:r w:rsidRPr="000E57CD">
        <w:rPr>
          <w:i/>
          <w:szCs w:val="22"/>
        </w:rPr>
        <w:t>Required Equipment</w:t>
      </w:r>
      <w:r w:rsidRPr="000E57CD">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E57CD" w:rsidRPr="000E57CD" w:rsidRDefault="000E57CD" w:rsidP="00A744CD">
      <w:pPr>
        <w:widowControl w:val="0"/>
        <w:numPr>
          <w:ilvl w:val="0"/>
          <w:numId w:val="3"/>
        </w:numPr>
        <w:tabs>
          <w:tab w:val="num" w:pos="720"/>
        </w:tabs>
        <w:spacing w:after="60"/>
        <w:ind w:left="720"/>
        <w:rPr>
          <w:szCs w:val="22"/>
        </w:rPr>
      </w:pPr>
      <w:r w:rsidRPr="000E57CD">
        <w:rPr>
          <w:i/>
          <w:szCs w:val="22"/>
        </w:rPr>
        <w:t>Accuracy of Equipment</w:t>
      </w:r>
      <w:r w:rsidRPr="000E57CD">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E57CD" w:rsidRPr="000E57CD" w:rsidRDefault="000E57CD" w:rsidP="00A744CD">
      <w:pPr>
        <w:widowControl w:val="0"/>
        <w:spacing w:after="60"/>
        <w:ind w:left="360"/>
        <w:rPr>
          <w:szCs w:val="22"/>
        </w:rPr>
      </w:pPr>
      <w:r w:rsidRPr="000E57CD">
        <w:rPr>
          <w:szCs w:val="22"/>
        </w:rPr>
        <w:t>[Rule 62-297.310(5), F.A.C.]</w:t>
      </w:r>
    </w:p>
    <w:p w:rsidR="000E57CD" w:rsidRPr="000E57CD" w:rsidRDefault="000E57CD" w:rsidP="00A744CD">
      <w:pPr>
        <w:widowControl w:val="0"/>
        <w:numPr>
          <w:ilvl w:val="0"/>
          <w:numId w:val="16"/>
        </w:numPr>
        <w:spacing w:after="60"/>
        <w:rPr>
          <w:szCs w:val="22"/>
        </w:rPr>
      </w:pPr>
      <w:r w:rsidRPr="000E57CD">
        <w:rPr>
          <w:szCs w:val="22"/>
          <w:u w:val="single"/>
        </w:rPr>
        <w:t>Frequency of Compliance Tests</w:t>
      </w:r>
      <w:r w:rsidRPr="000E57CD">
        <w:rPr>
          <w:szCs w:val="22"/>
        </w:rPr>
        <w:t>:  The following provisions apply only to those emissions units that are subject to an emissions limiting standard for which compliance testing is required.</w:t>
      </w:r>
    </w:p>
    <w:p w:rsidR="000E57CD" w:rsidRPr="000E57CD" w:rsidRDefault="000E57CD" w:rsidP="00A744CD">
      <w:pPr>
        <w:widowControl w:val="0"/>
        <w:numPr>
          <w:ilvl w:val="0"/>
          <w:numId w:val="14"/>
        </w:numPr>
        <w:autoSpaceDE w:val="0"/>
        <w:autoSpaceDN w:val="0"/>
        <w:adjustRightInd w:val="0"/>
        <w:spacing w:after="60"/>
        <w:rPr>
          <w:szCs w:val="22"/>
        </w:rPr>
      </w:pPr>
      <w:r w:rsidRPr="000E57CD">
        <w:rPr>
          <w:i/>
          <w:szCs w:val="22"/>
        </w:rPr>
        <w:t>General Compliance Testing</w:t>
      </w:r>
      <w:r w:rsidRPr="000E57CD">
        <w:rPr>
          <w:szCs w:val="22"/>
        </w:rPr>
        <w:t>.</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 xml:space="preserve">The owner or operator of an emissions unit that is subject to any emission limiting standard shall conduct a compliance test that demonstrates compliance with the applicable emission limiting </w:t>
      </w:r>
      <w:r w:rsidRPr="000E57CD">
        <w:rPr>
          <w:szCs w:val="22"/>
        </w:rPr>
        <w:lastRenderedPageBreak/>
        <w:t>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E57CD" w:rsidRPr="000E57CD" w:rsidRDefault="000E57CD" w:rsidP="00A744CD">
      <w:pPr>
        <w:widowControl w:val="0"/>
        <w:numPr>
          <w:ilvl w:val="0"/>
          <w:numId w:val="15"/>
        </w:numPr>
        <w:autoSpaceDE w:val="0"/>
        <w:autoSpaceDN w:val="0"/>
        <w:adjustRightInd w:val="0"/>
        <w:spacing w:after="60"/>
        <w:rPr>
          <w:szCs w:val="22"/>
        </w:rPr>
      </w:pPr>
      <w:r w:rsidRPr="000E57CD">
        <w:rPr>
          <w:szCs w:val="22"/>
        </w:rPr>
        <w:t>Did not operate; or</w:t>
      </w:r>
    </w:p>
    <w:p w:rsidR="000E57CD" w:rsidRPr="000E57CD" w:rsidRDefault="000E57CD" w:rsidP="00A744CD">
      <w:pPr>
        <w:widowControl w:val="0"/>
        <w:numPr>
          <w:ilvl w:val="0"/>
          <w:numId w:val="15"/>
        </w:numPr>
        <w:autoSpaceDE w:val="0"/>
        <w:autoSpaceDN w:val="0"/>
        <w:adjustRightInd w:val="0"/>
        <w:spacing w:after="60"/>
        <w:rPr>
          <w:szCs w:val="22"/>
        </w:rPr>
      </w:pPr>
      <w:r w:rsidRPr="000E57CD">
        <w:rPr>
          <w:szCs w:val="22"/>
        </w:rPr>
        <w:t>In the case of a fuel burning emissions unit, burned liquid and/or solid fuel for a total of no more than 400 hours,</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0E57CD" w:rsidRPr="000E57CD" w:rsidRDefault="000E57CD" w:rsidP="00A744CD">
      <w:pPr>
        <w:widowControl w:val="0"/>
        <w:numPr>
          <w:ilvl w:val="1"/>
          <w:numId w:val="14"/>
        </w:numPr>
        <w:autoSpaceDE w:val="0"/>
        <w:autoSpaceDN w:val="0"/>
        <w:adjustRightInd w:val="0"/>
        <w:spacing w:after="60"/>
        <w:rPr>
          <w:szCs w:val="22"/>
        </w:rPr>
      </w:pPr>
      <w:r w:rsidRPr="000E57CD">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E57CD" w:rsidRPr="000E57CD" w:rsidRDefault="000E57CD" w:rsidP="00A744CD">
      <w:pPr>
        <w:widowControl w:val="0"/>
        <w:numPr>
          <w:ilvl w:val="0"/>
          <w:numId w:val="14"/>
        </w:numPr>
        <w:autoSpaceDE w:val="0"/>
        <w:autoSpaceDN w:val="0"/>
        <w:adjustRightInd w:val="0"/>
        <w:spacing w:after="60"/>
        <w:rPr>
          <w:szCs w:val="22"/>
        </w:rPr>
      </w:pPr>
      <w:r w:rsidRPr="000E57CD">
        <w:rPr>
          <w:i/>
          <w:szCs w:val="22"/>
        </w:rPr>
        <w:t>Special Compliance Tests</w:t>
      </w:r>
      <w:r w:rsidRPr="000E57CD">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E57CD" w:rsidRPr="000E57CD" w:rsidRDefault="000E57CD" w:rsidP="00A744CD">
      <w:pPr>
        <w:widowControl w:val="0"/>
        <w:autoSpaceDE w:val="0"/>
        <w:autoSpaceDN w:val="0"/>
        <w:adjustRightInd w:val="0"/>
        <w:spacing w:after="60"/>
        <w:ind w:left="360"/>
        <w:rPr>
          <w:szCs w:val="22"/>
        </w:rPr>
      </w:pPr>
      <w:r w:rsidRPr="000E57CD">
        <w:rPr>
          <w:szCs w:val="22"/>
        </w:rPr>
        <w:t>[Rule 62-297.310(7), F.A.C.]</w:t>
      </w:r>
    </w:p>
    <w:p w:rsidR="000E57CD" w:rsidRPr="000E57CD" w:rsidRDefault="000E57CD" w:rsidP="00A744CD">
      <w:pPr>
        <w:widowControl w:val="0"/>
        <w:spacing w:after="60"/>
        <w:rPr>
          <w:b/>
          <w:caps/>
          <w:szCs w:val="22"/>
        </w:rPr>
      </w:pPr>
      <w:r w:rsidRPr="000E57CD">
        <w:rPr>
          <w:b/>
          <w:caps/>
          <w:szCs w:val="22"/>
        </w:rPr>
        <w:t>Records and Reports</w:t>
      </w:r>
    </w:p>
    <w:p w:rsidR="000E57CD" w:rsidRPr="000E57CD" w:rsidRDefault="000E57CD" w:rsidP="00A744CD">
      <w:pPr>
        <w:widowControl w:val="0"/>
        <w:numPr>
          <w:ilvl w:val="0"/>
          <w:numId w:val="16"/>
        </w:numPr>
        <w:spacing w:after="60"/>
        <w:rPr>
          <w:szCs w:val="22"/>
          <w:u w:val="single"/>
        </w:rPr>
      </w:pPr>
      <w:r w:rsidRPr="000E57CD">
        <w:rPr>
          <w:szCs w:val="22"/>
          <w:u w:val="single"/>
        </w:rPr>
        <w:t>Test Reports</w:t>
      </w:r>
      <w:r w:rsidRPr="000E57CD">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0E57CD" w:rsidRPr="000E57CD" w:rsidRDefault="000E57CD" w:rsidP="00A744CD">
      <w:pPr>
        <w:widowControl w:val="0"/>
        <w:numPr>
          <w:ilvl w:val="0"/>
          <w:numId w:val="18"/>
        </w:numPr>
        <w:spacing w:after="60"/>
        <w:rPr>
          <w:szCs w:val="22"/>
        </w:rPr>
      </w:pPr>
      <w:r w:rsidRPr="000E57CD">
        <w:rPr>
          <w:szCs w:val="22"/>
        </w:rPr>
        <w:t>The type, location, and designation of the emissions unit tested.</w:t>
      </w:r>
    </w:p>
    <w:p w:rsidR="000E57CD" w:rsidRPr="000E57CD" w:rsidRDefault="000E57CD" w:rsidP="00A744CD">
      <w:pPr>
        <w:widowControl w:val="0"/>
        <w:numPr>
          <w:ilvl w:val="0"/>
          <w:numId w:val="18"/>
        </w:numPr>
        <w:spacing w:after="60"/>
        <w:rPr>
          <w:szCs w:val="22"/>
        </w:rPr>
      </w:pPr>
      <w:r w:rsidRPr="000E57CD">
        <w:rPr>
          <w:szCs w:val="22"/>
        </w:rPr>
        <w:t>The facility at which the emissions unit is located.</w:t>
      </w:r>
    </w:p>
    <w:p w:rsidR="000E57CD" w:rsidRPr="000E57CD" w:rsidRDefault="000E57CD" w:rsidP="00A744CD">
      <w:pPr>
        <w:widowControl w:val="0"/>
        <w:numPr>
          <w:ilvl w:val="0"/>
          <w:numId w:val="18"/>
        </w:numPr>
        <w:spacing w:after="60"/>
        <w:rPr>
          <w:szCs w:val="22"/>
        </w:rPr>
      </w:pPr>
      <w:r w:rsidRPr="000E57CD">
        <w:rPr>
          <w:szCs w:val="22"/>
        </w:rPr>
        <w:t>The owner or operator of the emissions unit.</w:t>
      </w:r>
    </w:p>
    <w:p w:rsidR="000E57CD" w:rsidRPr="000E57CD" w:rsidRDefault="000E57CD" w:rsidP="00A744CD">
      <w:pPr>
        <w:widowControl w:val="0"/>
        <w:numPr>
          <w:ilvl w:val="0"/>
          <w:numId w:val="18"/>
        </w:numPr>
        <w:spacing w:after="60"/>
        <w:rPr>
          <w:szCs w:val="22"/>
        </w:rPr>
      </w:pPr>
      <w:r w:rsidRPr="000E57CD">
        <w:rPr>
          <w:szCs w:val="22"/>
        </w:rPr>
        <w:t>The normal type and amount of fuels used and materials processed, and the types and amounts of fuels used and material processed during each test run.</w:t>
      </w:r>
    </w:p>
    <w:p w:rsidR="000E57CD" w:rsidRPr="000E57CD" w:rsidRDefault="000E57CD" w:rsidP="00A744CD">
      <w:pPr>
        <w:widowControl w:val="0"/>
        <w:numPr>
          <w:ilvl w:val="0"/>
          <w:numId w:val="18"/>
        </w:numPr>
        <w:spacing w:after="60"/>
        <w:rPr>
          <w:szCs w:val="22"/>
        </w:rPr>
      </w:pPr>
      <w:r w:rsidRPr="000E57CD">
        <w:rPr>
          <w:szCs w:val="22"/>
        </w:rPr>
        <w:t>The means, raw data and computations used to determine the amount of fuels used and materials processed, if necessary to determine compliance with an applicable emission limiting standard.</w:t>
      </w:r>
    </w:p>
    <w:p w:rsidR="000E57CD" w:rsidRPr="000E57CD" w:rsidRDefault="000E57CD" w:rsidP="00A744CD">
      <w:pPr>
        <w:widowControl w:val="0"/>
        <w:numPr>
          <w:ilvl w:val="0"/>
          <w:numId w:val="18"/>
        </w:numPr>
        <w:spacing w:after="60"/>
        <w:rPr>
          <w:szCs w:val="22"/>
        </w:rPr>
      </w:pPr>
      <w:r w:rsidRPr="000E57CD">
        <w:rPr>
          <w:szCs w:val="22"/>
        </w:rPr>
        <w:t>The date, starting time and end time of the observation.</w:t>
      </w:r>
    </w:p>
    <w:p w:rsidR="000E57CD" w:rsidRPr="000E57CD" w:rsidRDefault="000E57CD" w:rsidP="00A744CD">
      <w:pPr>
        <w:widowControl w:val="0"/>
        <w:numPr>
          <w:ilvl w:val="0"/>
          <w:numId w:val="18"/>
        </w:numPr>
        <w:spacing w:after="60"/>
        <w:rPr>
          <w:szCs w:val="22"/>
        </w:rPr>
      </w:pPr>
      <w:r w:rsidRPr="000E57CD">
        <w:rPr>
          <w:szCs w:val="22"/>
        </w:rPr>
        <w:t>The test procedures used.</w:t>
      </w:r>
    </w:p>
    <w:p w:rsidR="000E57CD" w:rsidRPr="000E57CD" w:rsidRDefault="000E57CD" w:rsidP="00A744CD">
      <w:pPr>
        <w:widowControl w:val="0"/>
        <w:numPr>
          <w:ilvl w:val="0"/>
          <w:numId w:val="18"/>
        </w:numPr>
        <w:spacing w:after="60"/>
        <w:rPr>
          <w:szCs w:val="22"/>
        </w:rPr>
      </w:pPr>
      <w:r w:rsidRPr="000E57CD">
        <w:rPr>
          <w:szCs w:val="22"/>
        </w:rPr>
        <w:t>The names of individuals who furnished the process variable data, conducted the test, and prepared the report.</w:t>
      </w:r>
    </w:p>
    <w:p w:rsidR="000E57CD" w:rsidRPr="000E57CD" w:rsidRDefault="000E57CD" w:rsidP="00A744CD">
      <w:pPr>
        <w:widowControl w:val="0"/>
        <w:numPr>
          <w:ilvl w:val="0"/>
          <w:numId w:val="18"/>
        </w:numPr>
        <w:spacing w:after="60"/>
        <w:rPr>
          <w:szCs w:val="22"/>
        </w:rPr>
      </w:pPr>
      <w:r w:rsidRPr="000E57CD">
        <w:rPr>
          <w:szCs w:val="22"/>
        </w:rPr>
        <w:t>The applicable emission standard and the resulting maximum allowable emission rate for the emissions unit plus the test result in the same form and unit of measure.</w:t>
      </w:r>
    </w:p>
    <w:p w:rsidR="000E57CD" w:rsidRPr="000E57CD" w:rsidRDefault="000E57CD" w:rsidP="00A744CD">
      <w:pPr>
        <w:widowControl w:val="0"/>
        <w:numPr>
          <w:ilvl w:val="0"/>
          <w:numId w:val="18"/>
        </w:numPr>
        <w:spacing w:after="60"/>
        <w:rPr>
          <w:szCs w:val="22"/>
        </w:rPr>
      </w:pPr>
      <w:r w:rsidRPr="000E57CD">
        <w:rPr>
          <w:szCs w:val="22"/>
        </w:rPr>
        <w:t xml:space="preserve">A certification that to the knowledge of the owner or his authorized agent, all data submitted </w:t>
      </w:r>
      <w:proofErr w:type="gramStart"/>
      <w:r w:rsidRPr="000E57CD">
        <w:rPr>
          <w:szCs w:val="22"/>
        </w:rPr>
        <w:t>are</w:t>
      </w:r>
      <w:proofErr w:type="gramEnd"/>
      <w:r w:rsidRPr="000E57CD">
        <w:rPr>
          <w:szCs w:val="22"/>
        </w:rPr>
        <w:t xml:space="preserve"> true and correct.  The owner or his authorized agent shall certify that all data required and provided to the person conducting the test are true and correct to his knowledge.</w:t>
      </w:r>
    </w:p>
    <w:p w:rsidR="000E57CD" w:rsidRPr="000E57CD" w:rsidRDefault="000E57CD" w:rsidP="006E77EB">
      <w:pPr>
        <w:widowControl w:val="0"/>
        <w:ind w:left="360"/>
      </w:pPr>
      <w:r w:rsidRPr="000E57CD">
        <w:rPr>
          <w:szCs w:val="22"/>
        </w:rPr>
        <w:t>[Rule 62-297.310(8), F.A.C.]</w:t>
      </w:r>
    </w:p>
    <w:p w:rsidR="00956C2D" w:rsidRDefault="00956C2D" w:rsidP="004554B1">
      <w:pPr>
        <w:pStyle w:val="Header"/>
        <w:tabs>
          <w:tab w:val="clear" w:pos="4320"/>
          <w:tab w:val="clear" w:pos="8640"/>
        </w:tabs>
        <w:spacing w:after="120"/>
        <w:jc w:val="center"/>
        <w:rPr>
          <w:b/>
          <w:smallCaps/>
          <w:szCs w:val="22"/>
        </w:rPr>
        <w:sectPr w:rsidR="00956C2D" w:rsidSect="00911769">
          <w:headerReference w:type="even" r:id="rId22"/>
          <w:headerReference w:type="default" r:id="rId23"/>
          <w:footerReference w:type="default" r:id="rId24"/>
          <w:headerReference w:type="first" r:id="rId25"/>
          <w:pgSz w:w="12240" w:h="15840" w:code="1"/>
          <w:pgMar w:top="720" w:right="1152" w:bottom="720" w:left="1152" w:header="720" w:footer="446" w:gutter="0"/>
          <w:paperSrc w:first="16640" w:other="16640"/>
          <w:pgNumType w:start="1"/>
          <w:cols w:space="720"/>
        </w:sectPr>
      </w:pPr>
    </w:p>
    <w:p w:rsidR="00BB64FF" w:rsidRPr="00BB64FF" w:rsidRDefault="00BB64FF" w:rsidP="00BB64FF">
      <w:pPr>
        <w:ind w:left="14"/>
        <w:rPr>
          <w:szCs w:val="22"/>
        </w:rPr>
      </w:pPr>
      <w:r w:rsidRPr="00BB64FF">
        <w:rPr>
          <w:szCs w:val="22"/>
        </w:rPr>
        <w:lastRenderedPageBreak/>
        <w:t>Contents</w:t>
      </w:r>
    </w:p>
    <w:p w:rsidR="000D4E31" w:rsidRDefault="00C754B0" w:rsidP="000D4E31">
      <w:pPr>
        <w:rPr>
          <w:rFonts w:ascii="Arial" w:hAnsi="Arial" w:cs="Arial"/>
          <w:sz w:val="14"/>
          <w:szCs w:val="14"/>
        </w:rPr>
      </w:pPr>
      <w:hyperlink r:id="rId26" w:anchor="40:7.0.1.1.1.10.151.1" w:history="1">
        <w:proofErr w:type="gramStart"/>
        <w:r w:rsidR="000D4E31">
          <w:rPr>
            <w:rStyle w:val="Hyperlink"/>
          </w:rPr>
          <w:t>§ 60.40Da   Applicability and designation of affected facility.</w:t>
        </w:r>
        <w:proofErr w:type="gramEnd"/>
      </w:hyperlink>
      <w:r w:rsidR="000D4E31">
        <w:rPr>
          <w:rFonts w:ascii="Arial" w:hAnsi="Arial" w:cs="Arial"/>
          <w:sz w:val="14"/>
          <w:szCs w:val="14"/>
        </w:rPr>
        <w:br/>
      </w:r>
      <w:hyperlink r:id="rId27" w:anchor="40:7.0.1.1.1.10.151.2" w:history="1">
        <w:proofErr w:type="gramStart"/>
        <w:r w:rsidR="000D4E31">
          <w:rPr>
            <w:rStyle w:val="Hyperlink"/>
          </w:rPr>
          <w:t>§ 60.41Da   Definitions.</w:t>
        </w:r>
        <w:proofErr w:type="gramEnd"/>
      </w:hyperlink>
      <w:r w:rsidR="000D4E31">
        <w:rPr>
          <w:rFonts w:ascii="Arial" w:hAnsi="Arial" w:cs="Arial"/>
          <w:sz w:val="14"/>
          <w:szCs w:val="14"/>
        </w:rPr>
        <w:br/>
      </w:r>
      <w:hyperlink r:id="rId28" w:anchor="40:7.0.1.1.1.10.151.3" w:history="1">
        <w:proofErr w:type="gramStart"/>
        <w:r w:rsidR="000D4E31">
          <w:rPr>
            <w:rStyle w:val="Hyperlink"/>
          </w:rPr>
          <w:t>§ 60.42Da   Standards for particulate matter (PM).</w:t>
        </w:r>
        <w:proofErr w:type="gramEnd"/>
      </w:hyperlink>
      <w:r w:rsidR="000D4E31">
        <w:rPr>
          <w:rFonts w:ascii="Arial" w:hAnsi="Arial" w:cs="Arial"/>
          <w:sz w:val="14"/>
          <w:szCs w:val="14"/>
        </w:rPr>
        <w:br/>
      </w:r>
      <w:hyperlink r:id="rId29" w:anchor="40:7.0.1.1.1.10.151.4" w:history="1">
        <w:r w:rsidR="000D4E31">
          <w:rPr>
            <w:rStyle w:val="Hyperlink"/>
          </w:rPr>
          <w:t>§ 60.43Da   Standards for sulfur dioxide (</w:t>
        </w:r>
        <w:proofErr w:type="gramStart"/>
        <w:r w:rsidR="000D4E31">
          <w:rPr>
            <w:rStyle w:val="Hyperlink"/>
          </w:rPr>
          <w:t>SO</w:t>
        </w:r>
        <w:r w:rsidR="000D4E31">
          <w:rPr>
            <w:rStyle w:val="Hyperlink"/>
            <w:sz w:val="8"/>
            <w:szCs w:val="8"/>
            <w:vertAlign w:val="subscript"/>
          </w:rPr>
          <w:t>2</w:t>
        </w:r>
        <w:r w:rsidR="000D4E31">
          <w:rPr>
            <w:rStyle w:val="Hyperlink"/>
          </w:rPr>
          <w:t xml:space="preserve"> )</w:t>
        </w:r>
        <w:proofErr w:type="gramEnd"/>
        <w:r w:rsidR="000D4E31">
          <w:rPr>
            <w:rStyle w:val="Hyperlink"/>
          </w:rPr>
          <w:t>.</w:t>
        </w:r>
      </w:hyperlink>
      <w:r w:rsidR="000D4E31">
        <w:rPr>
          <w:rFonts w:ascii="Arial" w:hAnsi="Arial" w:cs="Arial"/>
          <w:sz w:val="14"/>
          <w:szCs w:val="14"/>
        </w:rPr>
        <w:br/>
      </w:r>
      <w:hyperlink r:id="rId30" w:anchor="40:7.0.1.1.1.10.151.5" w:history="1">
        <w:r w:rsidR="000D4E31">
          <w:rPr>
            <w:rStyle w:val="Hyperlink"/>
          </w:rPr>
          <w:t>§ 60.44Da   Standards for nitrogen oxides (</w:t>
        </w:r>
        <w:proofErr w:type="gramStart"/>
        <w:r w:rsidR="000D4E31">
          <w:rPr>
            <w:rStyle w:val="Hyperlink"/>
          </w:rPr>
          <w:t>NO</w:t>
        </w:r>
        <w:r w:rsidR="000D4E31">
          <w:rPr>
            <w:rStyle w:val="Hyperlink"/>
            <w:sz w:val="8"/>
            <w:szCs w:val="8"/>
            <w:vertAlign w:val="subscript"/>
          </w:rPr>
          <w:t>X</w:t>
        </w:r>
        <w:r w:rsidR="000D4E31">
          <w:rPr>
            <w:rStyle w:val="Hyperlink"/>
          </w:rPr>
          <w:t xml:space="preserve"> )</w:t>
        </w:r>
        <w:proofErr w:type="gramEnd"/>
        <w:r w:rsidR="000D4E31">
          <w:rPr>
            <w:rStyle w:val="Hyperlink"/>
          </w:rPr>
          <w:t>.</w:t>
        </w:r>
      </w:hyperlink>
      <w:r w:rsidR="000D4E31">
        <w:rPr>
          <w:rFonts w:ascii="Arial" w:hAnsi="Arial" w:cs="Arial"/>
          <w:sz w:val="14"/>
          <w:szCs w:val="14"/>
        </w:rPr>
        <w:br/>
      </w:r>
      <w:hyperlink r:id="rId31" w:anchor="40:7.0.1.1.1.10.151.6" w:history="1">
        <w:r w:rsidR="000D4E31">
          <w:rPr>
            <w:rStyle w:val="Hyperlink"/>
          </w:rPr>
          <w:t>§ 60.45Da   Alternative standards for combined nitrogen oxides (</w:t>
        </w:r>
        <w:proofErr w:type="gramStart"/>
        <w:r w:rsidR="000D4E31">
          <w:rPr>
            <w:rStyle w:val="Hyperlink"/>
          </w:rPr>
          <w:t>NO</w:t>
        </w:r>
        <w:r w:rsidR="000D4E31">
          <w:rPr>
            <w:rStyle w:val="Hyperlink"/>
            <w:sz w:val="8"/>
            <w:szCs w:val="8"/>
            <w:vertAlign w:val="subscript"/>
          </w:rPr>
          <w:t>X</w:t>
        </w:r>
        <w:r w:rsidR="000D4E31">
          <w:rPr>
            <w:rStyle w:val="Hyperlink"/>
          </w:rPr>
          <w:t xml:space="preserve"> )</w:t>
        </w:r>
        <w:proofErr w:type="gramEnd"/>
        <w:r w:rsidR="000D4E31">
          <w:rPr>
            <w:rStyle w:val="Hyperlink"/>
          </w:rPr>
          <w:t xml:space="preserve"> and carbon monoxide (CO).</w:t>
        </w:r>
      </w:hyperlink>
      <w:r w:rsidR="000D4E31">
        <w:rPr>
          <w:rFonts w:ascii="Arial" w:hAnsi="Arial" w:cs="Arial"/>
          <w:sz w:val="14"/>
          <w:szCs w:val="14"/>
        </w:rPr>
        <w:br/>
      </w:r>
      <w:hyperlink r:id="rId32" w:anchor="40:7.0.1.1.1.10.151.7" w:history="1">
        <w:r w:rsidR="000D4E31">
          <w:rPr>
            <w:rStyle w:val="Hyperlink"/>
          </w:rPr>
          <w:t>§ 60.46Da   [Reserved</w:t>
        </w:r>
        <w:proofErr w:type="gramStart"/>
        <w:r w:rsidR="000D4E31">
          <w:rPr>
            <w:rStyle w:val="Hyperlink"/>
          </w:rPr>
          <w:t>]</w:t>
        </w:r>
        <w:proofErr w:type="gramEnd"/>
      </w:hyperlink>
      <w:r w:rsidR="000D4E31">
        <w:rPr>
          <w:rFonts w:ascii="Arial" w:hAnsi="Arial" w:cs="Arial"/>
          <w:sz w:val="14"/>
          <w:szCs w:val="14"/>
        </w:rPr>
        <w:br/>
      </w:r>
      <w:hyperlink r:id="rId33" w:anchor="40:7.0.1.1.1.10.151.8" w:history="1">
        <w:r w:rsidR="000D4E31">
          <w:rPr>
            <w:rStyle w:val="Hyperlink"/>
          </w:rPr>
          <w:t>§ 60.47Da   Commercial demonstration permit.</w:t>
        </w:r>
      </w:hyperlink>
      <w:r w:rsidR="000D4E31">
        <w:rPr>
          <w:rFonts w:ascii="Arial" w:hAnsi="Arial" w:cs="Arial"/>
          <w:sz w:val="14"/>
          <w:szCs w:val="14"/>
        </w:rPr>
        <w:br/>
      </w:r>
      <w:hyperlink r:id="rId34" w:anchor="40:7.0.1.1.1.10.151.9" w:history="1">
        <w:proofErr w:type="gramStart"/>
        <w:r w:rsidR="000D4E31">
          <w:rPr>
            <w:rStyle w:val="Hyperlink"/>
          </w:rPr>
          <w:t>§ 60.48Da   Compliance provisions.</w:t>
        </w:r>
        <w:proofErr w:type="gramEnd"/>
      </w:hyperlink>
      <w:r w:rsidR="000D4E31">
        <w:rPr>
          <w:rFonts w:ascii="Arial" w:hAnsi="Arial" w:cs="Arial"/>
          <w:sz w:val="14"/>
          <w:szCs w:val="14"/>
        </w:rPr>
        <w:br/>
      </w:r>
      <w:hyperlink r:id="rId35" w:anchor="40:7.0.1.1.1.10.151.10" w:history="1">
        <w:proofErr w:type="gramStart"/>
        <w:r w:rsidR="000D4E31">
          <w:rPr>
            <w:rStyle w:val="Hyperlink"/>
          </w:rPr>
          <w:t>§ 60.49Da   Emission monitoring.</w:t>
        </w:r>
        <w:proofErr w:type="gramEnd"/>
      </w:hyperlink>
      <w:r w:rsidR="000D4E31">
        <w:rPr>
          <w:rFonts w:ascii="Arial" w:hAnsi="Arial" w:cs="Arial"/>
          <w:sz w:val="14"/>
          <w:szCs w:val="14"/>
        </w:rPr>
        <w:br/>
      </w:r>
      <w:hyperlink r:id="rId36" w:anchor="40:7.0.1.1.1.10.151.11" w:history="1">
        <w:proofErr w:type="gramStart"/>
        <w:r w:rsidR="000D4E31">
          <w:rPr>
            <w:rStyle w:val="Hyperlink"/>
          </w:rPr>
          <w:t>§ 60.50Da   Compliance determination procedures and methods.</w:t>
        </w:r>
        <w:proofErr w:type="gramEnd"/>
      </w:hyperlink>
      <w:r w:rsidR="000D4E31">
        <w:rPr>
          <w:rFonts w:ascii="Arial" w:hAnsi="Arial" w:cs="Arial"/>
          <w:sz w:val="14"/>
          <w:szCs w:val="14"/>
        </w:rPr>
        <w:br/>
      </w:r>
      <w:hyperlink r:id="rId37" w:anchor="40:7.0.1.1.1.10.151.12" w:history="1">
        <w:proofErr w:type="gramStart"/>
        <w:r w:rsidR="000D4E31">
          <w:rPr>
            <w:rStyle w:val="Hyperlink"/>
          </w:rPr>
          <w:t>§ 60.51Da   Reporting requirements.</w:t>
        </w:r>
        <w:proofErr w:type="gramEnd"/>
      </w:hyperlink>
      <w:r w:rsidR="000D4E31">
        <w:rPr>
          <w:rFonts w:ascii="Arial" w:hAnsi="Arial" w:cs="Arial"/>
          <w:sz w:val="14"/>
          <w:szCs w:val="14"/>
        </w:rPr>
        <w:br/>
      </w:r>
      <w:hyperlink r:id="rId38" w:anchor="40:7.0.1.1.1.10.151.13" w:history="1">
        <w:proofErr w:type="gramStart"/>
        <w:r w:rsidR="000D4E31">
          <w:rPr>
            <w:rStyle w:val="Hyperlink"/>
          </w:rPr>
          <w:t>§ 60.52Da   Recordkeeping requirements.</w:t>
        </w:r>
        <w:proofErr w:type="gramEnd"/>
      </w:hyperlink>
    </w:p>
    <w:p w:rsidR="00BB64FF" w:rsidRPr="00BB64FF" w:rsidRDefault="00BB64FF" w:rsidP="000D4E31">
      <w:pPr>
        <w:spacing w:after="120"/>
        <w:rPr>
          <w:szCs w:val="22"/>
        </w:rPr>
      </w:pPr>
      <w:r w:rsidRPr="00BB64FF">
        <w:rPr>
          <w:szCs w:val="22"/>
        </w:rPr>
        <w:t>--------------------------------------------------------------------------------</w:t>
      </w:r>
    </w:p>
    <w:p w:rsidR="00BB64FF" w:rsidRPr="00BB64FF" w:rsidRDefault="00BB64FF" w:rsidP="00BB64FF">
      <w:pPr>
        <w:spacing w:after="40"/>
        <w:ind w:left="20"/>
        <w:rPr>
          <w:szCs w:val="22"/>
        </w:rPr>
      </w:pPr>
      <w:r w:rsidRPr="00BB64FF">
        <w:rPr>
          <w:szCs w:val="22"/>
        </w:rPr>
        <w:t xml:space="preserve">Source: 72 FR 32722, June 13, 2007, unless otherwise noted. </w:t>
      </w:r>
    </w:p>
    <w:p w:rsid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60.40Da   Applicability and designation of affected facility.</w:t>
      </w:r>
      <w:proofErr w:type="gramEnd"/>
    </w:p>
    <w:p w:rsidR="00BB64FF" w:rsidRPr="00BB64FF" w:rsidRDefault="00BB64FF" w:rsidP="00BB64FF">
      <w:pPr>
        <w:spacing w:after="40"/>
        <w:ind w:left="20"/>
        <w:rPr>
          <w:szCs w:val="22"/>
        </w:rPr>
      </w:pPr>
      <w:r w:rsidRPr="00BB64FF">
        <w:rPr>
          <w:szCs w:val="22"/>
        </w:rPr>
        <w:t>(a) Except as specified in paragraph (e) of this section, the affected facility to which this subpart applies is each electric utility steam generating unit:</w:t>
      </w:r>
    </w:p>
    <w:p w:rsidR="00BB64FF" w:rsidRPr="00BB64FF" w:rsidRDefault="00BB64FF" w:rsidP="00BB64FF">
      <w:pPr>
        <w:spacing w:after="40"/>
        <w:ind w:left="20"/>
        <w:rPr>
          <w:szCs w:val="22"/>
        </w:rPr>
      </w:pPr>
      <w:r w:rsidRPr="00BB64FF">
        <w:rPr>
          <w:szCs w:val="22"/>
        </w:rPr>
        <w:t xml:space="preserve">(1) </w:t>
      </w:r>
      <w:proofErr w:type="gramStart"/>
      <w:r w:rsidRPr="00BB64FF">
        <w:rPr>
          <w:szCs w:val="22"/>
        </w:rPr>
        <w:t>That</w:t>
      </w:r>
      <w:proofErr w:type="gramEnd"/>
      <w:r w:rsidRPr="00BB64FF">
        <w:rPr>
          <w:szCs w:val="22"/>
        </w:rPr>
        <w:t xml:space="preserve"> is capable of combusting more than 73 megawatts (MW) (250 million British thermal units per hour (MMBtu/hr)) heat input of fossil fuel (either alone or in combination with any other fuel); and</w:t>
      </w:r>
    </w:p>
    <w:p w:rsidR="00BB64FF" w:rsidRPr="00BB64FF" w:rsidRDefault="00BB64FF" w:rsidP="00BB64FF">
      <w:pPr>
        <w:spacing w:after="40"/>
        <w:ind w:left="20"/>
        <w:rPr>
          <w:szCs w:val="22"/>
        </w:rPr>
      </w:pPr>
      <w:r w:rsidRPr="00BB64FF">
        <w:rPr>
          <w:szCs w:val="22"/>
        </w:rPr>
        <w:t>(2) For which construction, modification, or reconstruction is commenced after September 18, 1978.</w:t>
      </w:r>
    </w:p>
    <w:p w:rsidR="00BB64FF" w:rsidRPr="00BB64FF" w:rsidRDefault="00BB64FF" w:rsidP="00BB64FF">
      <w:pPr>
        <w:spacing w:after="40"/>
        <w:ind w:left="20"/>
        <w:rPr>
          <w:szCs w:val="22"/>
        </w:rPr>
      </w:pPr>
      <w:r w:rsidRPr="00BB64FF">
        <w:rPr>
          <w:szCs w:val="22"/>
        </w:rPr>
        <w:t>(b) An IGCC electric utility steam generating unit (both the stationary combustion turbine and any associated duct burners) is subject to this part and is not subject to subpart GG or KKKK of this part if both of the conditions specified in paragraphs (b</w:t>
      </w:r>
      <w:proofErr w:type="gramStart"/>
      <w:r w:rsidRPr="00BB64FF">
        <w:rPr>
          <w:szCs w:val="22"/>
        </w:rPr>
        <w:t>)(</w:t>
      </w:r>
      <w:proofErr w:type="gramEnd"/>
      <w:r w:rsidRPr="00BB64FF">
        <w:rPr>
          <w:szCs w:val="22"/>
        </w:rPr>
        <w:t>1) and (2) of this section are met.</w:t>
      </w:r>
    </w:p>
    <w:p w:rsidR="00BB64FF" w:rsidRPr="00BB64FF" w:rsidRDefault="00BB64FF" w:rsidP="00BB64FF">
      <w:pPr>
        <w:spacing w:after="40"/>
        <w:ind w:left="20"/>
        <w:rPr>
          <w:szCs w:val="22"/>
        </w:rPr>
      </w:pPr>
      <w:r w:rsidRPr="00BB64FF">
        <w:rPr>
          <w:szCs w:val="22"/>
        </w:rPr>
        <w:t>(1) The IGCC electric utility steam generating unit is capable of combusting more than 73 MW (250 MMBtu/h) heat input of fossil fuel (either alone or in combination with any other fuel) in the combustion turbine engine and associated heat recovery steam generator; and</w:t>
      </w:r>
    </w:p>
    <w:p w:rsidR="00BB64FF" w:rsidRPr="00BB64FF" w:rsidRDefault="00BB64FF" w:rsidP="00BB64FF">
      <w:pPr>
        <w:spacing w:after="40"/>
        <w:ind w:left="20"/>
        <w:rPr>
          <w:szCs w:val="22"/>
        </w:rPr>
      </w:pPr>
      <w:r w:rsidRPr="00BB64FF">
        <w:rPr>
          <w:szCs w:val="22"/>
        </w:rPr>
        <w:t>(2) The IGCC electric utility steam generating unit commenced construction, modification, or reconstruction after February 28, 2005.</w:t>
      </w:r>
    </w:p>
    <w:p w:rsidR="00BB64FF" w:rsidRPr="00BB64FF" w:rsidRDefault="00BB64FF" w:rsidP="00BB64FF">
      <w:pPr>
        <w:spacing w:after="40"/>
        <w:ind w:left="20"/>
        <w:rPr>
          <w:szCs w:val="22"/>
        </w:rPr>
      </w:pPr>
      <w:r w:rsidRPr="00BB64FF">
        <w:rPr>
          <w:szCs w:val="22"/>
        </w:rPr>
        <w:t>(c) Any change to an existing fossil-fuel-fired steam generating unit to accommodate the use of combustible materials, other than fossil fuels, shall not bring that unit under the applicability of this subpart.</w:t>
      </w:r>
    </w:p>
    <w:p w:rsidR="00BB64FF" w:rsidRPr="00BB64FF" w:rsidRDefault="00BB64FF" w:rsidP="00BB64FF">
      <w:pPr>
        <w:spacing w:after="40"/>
        <w:ind w:left="20"/>
        <w:rPr>
          <w:szCs w:val="22"/>
        </w:rPr>
      </w:pPr>
      <w:r w:rsidRPr="00BB64FF">
        <w:rPr>
          <w:szCs w:val="22"/>
        </w:rPr>
        <w:t xml:space="preserve">(d) Any change to an existing steam generating unit originally designed to fire gaseous or liquid fossil fuels, to accommodate the use of any other fuel (fossil or </w:t>
      </w:r>
      <w:proofErr w:type="spellStart"/>
      <w:r w:rsidRPr="00BB64FF">
        <w:rPr>
          <w:szCs w:val="22"/>
        </w:rPr>
        <w:t>nonfossil</w:t>
      </w:r>
      <w:proofErr w:type="spellEnd"/>
      <w:r w:rsidRPr="00BB64FF">
        <w:rPr>
          <w:szCs w:val="22"/>
        </w:rPr>
        <w:t>) shall not bring that unit under the applicability of this subpart.</w:t>
      </w:r>
    </w:p>
    <w:p w:rsidR="00BB64FF" w:rsidRPr="00BB64FF" w:rsidRDefault="00BB64FF" w:rsidP="00BB64FF">
      <w:pPr>
        <w:spacing w:after="40"/>
        <w:ind w:left="20"/>
        <w:rPr>
          <w:szCs w:val="22"/>
        </w:rPr>
      </w:pPr>
      <w:r w:rsidRPr="00BB64FF">
        <w:rPr>
          <w:szCs w:val="22"/>
        </w:rPr>
        <w:t>(e) Applicability of this subpart to an electric utility combined cycle gas turbine other than an IGCC electric utility steam generating unit is as specified in paragraphs (e)(1) through (3) of this section.</w:t>
      </w:r>
    </w:p>
    <w:p w:rsidR="00BB64FF" w:rsidRPr="00BB64FF" w:rsidRDefault="00BB64FF" w:rsidP="00BB64FF">
      <w:pPr>
        <w:spacing w:after="40"/>
        <w:ind w:left="20"/>
        <w:rPr>
          <w:szCs w:val="22"/>
        </w:rPr>
      </w:pPr>
      <w:r w:rsidRPr="00BB64FF">
        <w:rPr>
          <w:szCs w:val="22"/>
        </w:rPr>
        <w:t xml:space="preserve">(1) Affected facilities </w:t>
      </w:r>
      <w:proofErr w:type="gramStart"/>
      <w:r w:rsidRPr="00BB64FF">
        <w:rPr>
          <w:szCs w:val="22"/>
        </w:rPr>
        <w:t>( i.e</w:t>
      </w:r>
      <w:proofErr w:type="gramEnd"/>
      <w:r w:rsidRPr="00BB64FF">
        <w:rPr>
          <w:szCs w:val="22"/>
        </w:rPr>
        <w:t>. heat recovery steam generators used with duct burners) associated with a stationary combustion turbine that are capable of combusting more than 73 MW (250 MMBtu/h) heat input of fossil fuel are subject to this subpart except in cases when the affected facility ( i.e. heat recovery steam generator) meets the applicability requirements of and is subject to subpart KKKK of this part.</w:t>
      </w:r>
    </w:p>
    <w:p w:rsidR="00BB64FF" w:rsidRPr="00BB64FF" w:rsidRDefault="00BB64FF" w:rsidP="00BB64FF">
      <w:pPr>
        <w:spacing w:after="40"/>
        <w:ind w:left="20"/>
        <w:rPr>
          <w:szCs w:val="22"/>
        </w:rPr>
      </w:pPr>
      <w:r w:rsidRPr="00BB64FF">
        <w:rPr>
          <w:szCs w:val="22"/>
        </w:rPr>
        <w:t>(2) For heat recovery steam generators use with duct burners subject to this subpart, only emissions resulting from the combustion of fuels in the steam generating unit ( i.e. duct burners) are subject to the standards under this subpart. (The emissions resulting from the combustion of fuels in the stationary combustion turbine engine are subject to subpart GG or KKKK, as applicable, of this part.)</w:t>
      </w:r>
    </w:p>
    <w:p w:rsidR="00BB64FF" w:rsidRPr="00BB64FF" w:rsidRDefault="00BB64FF" w:rsidP="00BB64FF">
      <w:pPr>
        <w:spacing w:after="40"/>
        <w:ind w:left="20"/>
        <w:rPr>
          <w:szCs w:val="22"/>
        </w:rPr>
      </w:pPr>
      <w:r w:rsidRPr="00BB64FF">
        <w:rPr>
          <w:szCs w:val="22"/>
        </w:rPr>
        <w:lastRenderedPageBreak/>
        <w:t xml:space="preserve">(3) Any affected facility that meets the applicability requirements and is subject to subpart </w:t>
      </w:r>
      <w:proofErr w:type="spellStart"/>
      <w:r w:rsidRPr="00BB64FF">
        <w:rPr>
          <w:szCs w:val="22"/>
        </w:rPr>
        <w:t>Eb</w:t>
      </w:r>
      <w:proofErr w:type="spellEnd"/>
      <w:r w:rsidRPr="00BB64FF">
        <w:rPr>
          <w:szCs w:val="22"/>
        </w:rPr>
        <w:t xml:space="preserve"> or subpart CCCC of this part is not subject to the emission standards under subpart Da.</w:t>
      </w:r>
    </w:p>
    <w:p w:rsidR="00BB64FF" w:rsidRPr="00BB64FF" w:rsidRDefault="00BB64FF" w:rsidP="00BB64FF">
      <w:pPr>
        <w:spacing w:after="40"/>
        <w:ind w:left="20"/>
        <w:rPr>
          <w:szCs w:val="22"/>
        </w:rPr>
      </w:pPr>
      <w:r w:rsidRPr="00BB64FF">
        <w:rPr>
          <w:szCs w:val="22"/>
        </w:rPr>
        <w:t>[72 FR 32722, June 13, 2007, as amended at 74 FR 5078, Jan. 28, 2009; 77 FR 9448, Feb. 16, 2012]</w:t>
      </w:r>
    </w:p>
    <w:p w:rsid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60.41Da   Definitions.</w:t>
      </w:r>
      <w:proofErr w:type="gramEnd"/>
    </w:p>
    <w:p w:rsidR="00BB64FF" w:rsidRPr="00BB64FF" w:rsidRDefault="00BB64FF" w:rsidP="00BB64FF">
      <w:pPr>
        <w:spacing w:after="40"/>
        <w:ind w:left="20"/>
        <w:rPr>
          <w:szCs w:val="22"/>
        </w:rPr>
      </w:pPr>
      <w:r w:rsidRPr="00BB64FF">
        <w:rPr>
          <w:szCs w:val="22"/>
        </w:rPr>
        <w:t>As used in this subpart, all terms not defined herein shall have the meaning given them in the Act and in subpart A of this part.</w:t>
      </w:r>
    </w:p>
    <w:p w:rsidR="00BB64FF" w:rsidRPr="00BB64FF" w:rsidRDefault="00BB64FF" w:rsidP="00BB64FF">
      <w:pPr>
        <w:spacing w:after="40"/>
        <w:ind w:left="20"/>
        <w:rPr>
          <w:szCs w:val="22"/>
        </w:rPr>
      </w:pPr>
      <w:r w:rsidRPr="00BB64FF">
        <w:rPr>
          <w:szCs w:val="22"/>
        </w:rPr>
        <w:t>Affirmative defense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BB64FF" w:rsidRPr="00BB64FF" w:rsidRDefault="00BB64FF" w:rsidP="00BB64FF">
      <w:pPr>
        <w:spacing w:after="40"/>
        <w:ind w:left="20"/>
        <w:rPr>
          <w:szCs w:val="22"/>
        </w:rPr>
      </w:pPr>
      <w:r w:rsidRPr="00BB64FF">
        <w:rPr>
          <w:szCs w:val="22"/>
        </w:rPr>
        <w:t>Anthracite means coal that is classified as anthracite according to the American Society of Testing and Materials in ASTM D388 (incorporated by reference, see § 60.17).</w:t>
      </w:r>
    </w:p>
    <w:p w:rsidR="00BB64FF" w:rsidRPr="00BB64FF" w:rsidRDefault="00BB64FF" w:rsidP="00BB64FF">
      <w:pPr>
        <w:spacing w:after="40"/>
        <w:ind w:left="20"/>
        <w:rPr>
          <w:szCs w:val="22"/>
        </w:rPr>
      </w:pPr>
      <w:r w:rsidRPr="00BB64FF">
        <w:rPr>
          <w:szCs w:val="22"/>
        </w:rPr>
        <w:t>Available system capacity means the capacity determined by subtracting the system load and the system emergency reserves from the net system capacity.</w:t>
      </w:r>
    </w:p>
    <w:p w:rsidR="00BB64FF" w:rsidRPr="00BB64FF" w:rsidRDefault="00BB64FF" w:rsidP="00BB64FF">
      <w:pPr>
        <w:spacing w:after="40"/>
        <w:ind w:left="20"/>
        <w:rPr>
          <w:szCs w:val="22"/>
        </w:rPr>
      </w:pPr>
      <w:r w:rsidRPr="00BB64FF">
        <w:rPr>
          <w:szCs w:val="22"/>
        </w:rPr>
        <w:t>Biomass means plant materials and animal waste.</w:t>
      </w:r>
    </w:p>
    <w:p w:rsidR="00BB64FF" w:rsidRPr="00BB64FF" w:rsidRDefault="00BB64FF" w:rsidP="00BB64FF">
      <w:pPr>
        <w:spacing w:after="40"/>
        <w:ind w:left="20"/>
        <w:rPr>
          <w:szCs w:val="22"/>
        </w:rPr>
      </w:pPr>
      <w:r w:rsidRPr="00BB64FF">
        <w:rPr>
          <w:szCs w:val="22"/>
        </w:rPr>
        <w:t>Bituminous coal means coal that is classified as bituminous according to the American Society of Testing and Materials in ASTM D388 (incorporated by reference, see § 60.17).</w:t>
      </w:r>
    </w:p>
    <w:p w:rsidR="00BB64FF" w:rsidRPr="00BB64FF" w:rsidRDefault="00BB64FF" w:rsidP="00BB64FF">
      <w:pPr>
        <w:spacing w:after="40"/>
        <w:ind w:left="20"/>
        <w:rPr>
          <w:szCs w:val="22"/>
        </w:rPr>
      </w:pPr>
      <w:r w:rsidRPr="00BB64FF">
        <w:rPr>
          <w:szCs w:val="22"/>
        </w:rPr>
        <w:t>Boiler operating day for units constructed, reconstructed, or modified before March 1, 2005, means a 24-hour period during which fossil fuel is combusted in a steam-generating unit for the entire 24 hours. For units constructed, reconstructed, or modified after February 28, 2005, boiler operating day means a 24-hour period between 12 midnight and the following midnight during which any fuel is combusted at any time in the steam-generating unit. It is not necessary for fuel to be combusted the entire 24-hour period.</w:t>
      </w:r>
    </w:p>
    <w:p w:rsidR="00BB64FF" w:rsidRPr="00BB64FF" w:rsidRDefault="00BB64FF" w:rsidP="00BB64FF">
      <w:pPr>
        <w:spacing w:after="40"/>
        <w:ind w:left="20"/>
        <w:rPr>
          <w:szCs w:val="22"/>
        </w:rPr>
      </w:pPr>
      <w:r w:rsidRPr="00BB64FF">
        <w:rPr>
          <w:szCs w:val="22"/>
        </w:rPr>
        <w:t xml:space="preserve">Coal means all solid fuels classified as anthracite, bituminous, </w:t>
      </w:r>
      <w:proofErr w:type="spellStart"/>
      <w:r w:rsidRPr="00BB64FF">
        <w:rPr>
          <w:szCs w:val="22"/>
        </w:rPr>
        <w:t>subbituminous</w:t>
      </w:r>
      <w:proofErr w:type="spellEnd"/>
      <w:r w:rsidRPr="00BB64FF">
        <w:rPr>
          <w:szCs w:val="22"/>
        </w:rPr>
        <w:t>, or lignite by the American Society of Testing and Materials in ASTM D388 (incorporated by reference, see § 60.17) and coal refuse. Synthetic fuels derived from coal for the purpose of creating useful heat, including but not limited to solvent-refined coal, gasified coal, coal-oil mixtures, and coal-water mixtures are included in this definition for the purposes of this subpart.</w:t>
      </w:r>
    </w:p>
    <w:p w:rsidR="00BB64FF" w:rsidRPr="00BB64FF" w:rsidRDefault="00BB64FF" w:rsidP="00BB64FF">
      <w:pPr>
        <w:spacing w:after="40"/>
        <w:ind w:left="20"/>
        <w:rPr>
          <w:szCs w:val="22"/>
        </w:rPr>
      </w:pPr>
      <w:r w:rsidRPr="00BB64FF">
        <w:rPr>
          <w:szCs w:val="22"/>
        </w:rPr>
        <w:t>Coal-fired electric utility steam generating unit means an electric utility steam generating unit that burns coal, coal refuse, or a synthetic gas derived from coal either exclusively, in any combination together, or in any combination with other fuels in any amount.</w:t>
      </w:r>
    </w:p>
    <w:p w:rsidR="00BB64FF" w:rsidRPr="00BB64FF" w:rsidRDefault="00BB64FF" w:rsidP="00BB64FF">
      <w:pPr>
        <w:spacing w:after="40"/>
        <w:ind w:left="20"/>
        <w:rPr>
          <w:szCs w:val="22"/>
        </w:rPr>
      </w:pPr>
      <w:r w:rsidRPr="00BB64FF">
        <w:rPr>
          <w:szCs w:val="22"/>
        </w:rPr>
        <w:t xml:space="preserve">Coal refuse means waste products of coal mining, physical coal cleaning, and coal preparation operations ( e.g. </w:t>
      </w:r>
      <w:proofErr w:type="spellStart"/>
      <w:r w:rsidRPr="00BB64FF">
        <w:rPr>
          <w:szCs w:val="22"/>
        </w:rPr>
        <w:t>culm</w:t>
      </w:r>
      <w:proofErr w:type="spellEnd"/>
      <w:r w:rsidRPr="00BB64FF">
        <w:rPr>
          <w:szCs w:val="22"/>
        </w:rPr>
        <w:t>, gob, etc.) containing coal, matrix material, clay, and other organic and inorganic material.</w:t>
      </w:r>
    </w:p>
    <w:p w:rsidR="00BB64FF" w:rsidRPr="00BB64FF" w:rsidRDefault="00BB64FF" w:rsidP="00BB64FF">
      <w:pPr>
        <w:spacing w:after="40"/>
        <w:ind w:left="20"/>
        <w:rPr>
          <w:szCs w:val="22"/>
        </w:rPr>
      </w:pPr>
      <w:r w:rsidRPr="00BB64FF">
        <w:rPr>
          <w:szCs w:val="22"/>
        </w:rPr>
        <w:t>Combined cycle gas turbine means a stationary turbine combustion system where heat from the turbine exhaust gases is recovered by a steam generating unit.</w:t>
      </w:r>
    </w:p>
    <w:p w:rsidR="00BB64FF" w:rsidRPr="00BB64FF" w:rsidRDefault="00BB64FF" w:rsidP="00BB64FF">
      <w:pPr>
        <w:spacing w:after="40"/>
        <w:ind w:left="20"/>
        <w:rPr>
          <w:szCs w:val="22"/>
        </w:rPr>
      </w:pPr>
      <w:r w:rsidRPr="00BB64FF">
        <w:rPr>
          <w:szCs w:val="22"/>
        </w:rPr>
        <w:t>Combined heat and power, also known as “cogeneration,” means a steam-generating unit that simultaneously produces both electric (and mechanical) and useful thermal energy from the same primary energy source.</w:t>
      </w:r>
    </w:p>
    <w:p w:rsidR="00BB64FF" w:rsidRPr="00BB64FF" w:rsidRDefault="00BB64FF" w:rsidP="00BB64FF">
      <w:pPr>
        <w:spacing w:after="40"/>
        <w:ind w:left="20"/>
        <w:rPr>
          <w:szCs w:val="22"/>
        </w:rPr>
      </w:pPr>
      <w:r w:rsidRPr="00BB64FF">
        <w:rPr>
          <w:szCs w:val="22"/>
        </w:rPr>
        <w:t>Duct burner 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BB64FF" w:rsidRPr="00BB64FF" w:rsidRDefault="00BB64FF" w:rsidP="00BB64FF">
      <w:pPr>
        <w:spacing w:after="40"/>
        <w:ind w:left="20"/>
        <w:rPr>
          <w:szCs w:val="22"/>
        </w:rPr>
      </w:pPr>
      <w:r w:rsidRPr="00BB64FF">
        <w:rPr>
          <w:szCs w:val="22"/>
        </w:rPr>
        <w:t xml:space="preserve">Electric utility combined cycle gas turbine means any combined cycle gas turbine used for electric generation that is constructed for the purpose of supplying more than one-third of its potential electric output capacity and more than 25 MW net-electrical </w:t>
      </w:r>
      <w:proofErr w:type="gramStart"/>
      <w:r w:rsidRPr="00BB64FF">
        <w:rPr>
          <w:szCs w:val="22"/>
        </w:rPr>
        <w:t>output</w:t>
      </w:r>
      <w:proofErr w:type="gramEnd"/>
      <w:r w:rsidRPr="00BB64FF">
        <w:rPr>
          <w:szCs w:val="22"/>
        </w:rPr>
        <w:t xml:space="preserve"> to any utility power distribution system for sale. Any steam distribution system that is constructed for the purpose of providing steam to a steam electric generator that would produce electrical power for sale is also considered in determining the electrical energy output capacity of the affected facility.</w:t>
      </w:r>
    </w:p>
    <w:p w:rsidR="00BB64FF" w:rsidRPr="00BB64FF" w:rsidRDefault="00BB64FF" w:rsidP="00BB64FF">
      <w:pPr>
        <w:spacing w:after="40"/>
        <w:ind w:left="20"/>
        <w:rPr>
          <w:szCs w:val="22"/>
        </w:rPr>
      </w:pPr>
      <w:r w:rsidRPr="00BB64FF">
        <w:rPr>
          <w:szCs w:val="22"/>
        </w:rPr>
        <w:lastRenderedPageBreak/>
        <w:t xml:space="preserve">Electric utility steam-generating unit means any steam electric generating unit that is constructed for the purpose of supplying more than one-third of its potential electric output capacity and more than 25 MW net-electrical </w:t>
      </w:r>
      <w:proofErr w:type="gramStart"/>
      <w:r w:rsidRPr="00BB64FF">
        <w:rPr>
          <w:szCs w:val="22"/>
        </w:rPr>
        <w:t>output</w:t>
      </w:r>
      <w:proofErr w:type="gramEnd"/>
      <w:r w:rsidRPr="00BB64FF">
        <w:rPr>
          <w:szCs w:val="22"/>
        </w:rPr>
        <w:t xml:space="preserve"> to any utility power distribution system for sale. Also, any steam supplied to a steam distribution system for the purpose of providing steam to a steam-electric generator that would produce electrical energy for sale is considered in determining the electrical energy output capacity of the affected facility.</w:t>
      </w:r>
    </w:p>
    <w:p w:rsidR="00BB64FF" w:rsidRPr="00BB64FF" w:rsidRDefault="00BB64FF" w:rsidP="00BB64FF">
      <w:pPr>
        <w:spacing w:after="40"/>
        <w:ind w:left="20"/>
        <w:rPr>
          <w:szCs w:val="22"/>
        </w:rPr>
      </w:pPr>
      <w:r w:rsidRPr="00BB64FF">
        <w:rPr>
          <w:szCs w:val="22"/>
        </w:rPr>
        <w:t>Electrostatic precipitator or ESP means an add-on air pollution control device used to capture particulate matter (PM) by charging the particles using an electrostatic field, collecting the particles using a grounded collecting surface, and transporting the particles into a hopper.</w:t>
      </w:r>
    </w:p>
    <w:p w:rsidR="00BB64FF" w:rsidRPr="00BB64FF" w:rsidRDefault="00BB64FF" w:rsidP="00BB64FF">
      <w:pPr>
        <w:spacing w:after="40"/>
        <w:ind w:left="20"/>
        <w:rPr>
          <w:szCs w:val="22"/>
        </w:rPr>
      </w:pPr>
      <w:r w:rsidRPr="00BB64FF">
        <w:rPr>
          <w:szCs w:val="22"/>
        </w:rPr>
        <w:t>Emission limitation means any emissions limit or operating limit.</w:t>
      </w:r>
    </w:p>
    <w:p w:rsidR="00BB64FF" w:rsidRPr="00BB64FF" w:rsidRDefault="00BB64FF" w:rsidP="00BB64FF">
      <w:pPr>
        <w:spacing w:after="40"/>
        <w:ind w:left="20"/>
        <w:rPr>
          <w:szCs w:val="22"/>
        </w:rPr>
      </w:pPr>
      <w:r w:rsidRPr="00BB64FF">
        <w:rPr>
          <w:szCs w:val="22"/>
        </w:rPr>
        <w:t>Federally enforceable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BB64FF" w:rsidRPr="00BB64FF" w:rsidRDefault="00BB64FF" w:rsidP="00BB64FF">
      <w:pPr>
        <w:spacing w:after="40"/>
        <w:ind w:left="20"/>
        <w:rPr>
          <w:szCs w:val="22"/>
        </w:rPr>
      </w:pPr>
      <w:r w:rsidRPr="00BB64FF">
        <w:rPr>
          <w:szCs w:val="22"/>
        </w:rPr>
        <w:t>Fossil fuel means natural gas, petroleum, coal, and any form of solid, liquid, or gaseous fuel derived from such material for the purpose of creating useful heat.</w:t>
      </w:r>
    </w:p>
    <w:p w:rsidR="00BB64FF" w:rsidRPr="00BB64FF" w:rsidRDefault="00BB64FF" w:rsidP="00BB64FF">
      <w:pPr>
        <w:spacing w:after="40"/>
        <w:ind w:left="20"/>
        <w:rPr>
          <w:szCs w:val="22"/>
        </w:rPr>
      </w:pPr>
      <w:r w:rsidRPr="00BB64FF">
        <w:rPr>
          <w:szCs w:val="22"/>
        </w:rPr>
        <w:t>Gaseous fuel means any fuel that is present as a gas at standard conditions and includes, but is not limited to, natural gas, refinery fuel gas, process gas, coke-oven gas, synthetic gas, and gasified coal.</w:t>
      </w:r>
    </w:p>
    <w:p w:rsidR="00BB64FF" w:rsidRPr="00BB64FF" w:rsidRDefault="00BB64FF" w:rsidP="00BB64FF">
      <w:pPr>
        <w:spacing w:after="40"/>
        <w:ind w:left="20"/>
        <w:rPr>
          <w:szCs w:val="22"/>
        </w:rPr>
      </w:pPr>
      <w:r w:rsidRPr="00BB64FF">
        <w:rPr>
          <w:szCs w:val="22"/>
        </w:rPr>
        <w:t>Gross energy output means:</w:t>
      </w:r>
    </w:p>
    <w:p w:rsidR="00BB64FF" w:rsidRPr="00BB64FF" w:rsidRDefault="00BB64FF" w:rsidP="00BB64FF">
      <w:pPr>
        <w:spacing w:after="40"/>
        <w:ind w:left="20"/>
        <w:rPr>
          <w:szCs w:val="22"/>
        </w:rPr>
      </w:pPr>
      <w:r w:rsidRPr="00BB64FF">
        <w:rPr>
          <w:szCs w:val="22"/>
        </w:rPr>
        <w:t>(1) For facilities constructed, reconstructed, or modified before May 4, 2011, the gross electrical or mechanical output from the affected facility plus 75 percent of the useful thermal output measured relative to ISO conditions that is not used to generate additional electrical or mechanical output or to enhance the performance of the unit ( i.e., steam delivered to an industrial process);</w:t>
      </w:r>
    </w:p>
    <w:p w:rsidR="00BB64FF" w:rsidRPr="00BB64FF" w:rsidRDefault="00BB64FF" w:rsidP="00BB64FF">
      <w:pPr>
        <w:spacing w:after="40"/>
        <w:ind w:left="20"/>
        <w:rPr>
          <w:szCs w:val="22"/>
        </w:rPr>
      </w:pPr>
      <w:r w:rsidRPr="00BB64FF">
        <w:rPr>
          <w:szCs w:val="22"/>
        </w:rPr>
        <w:t xml:space="preserve">(2) For facilities constructed, reconstructed, or modified after May 3, 2011, the gross electrical or mechanical output from the affected facility minus any electricity used to power the </w:t>
      </w:r>
      <w:proofErr w:type="spellStart"/>
      <w:r w:rsidRPr="00BB64FF">
        <w:rPr>
          <w:szCs w:val="22"/>
        </w:rPr>
        <w:t>feedwater</w:t>
      </w:r>
      <w:proofErr w:type="spellEnd"/>
      <w:r w:rsidRPr="00BB64FF">
        <w:rPr>
          <w:szCs w:val="22"/>
        </w:rPr>
        <w:t xml:space="preserve"> pumps and any associated gas compressors (air separation unit main compressor, oxygen compressor, and nitrogen compressor) plus 75 percent of the useful thermal output measured relative to ISO conditions that is not used to generate additional electrical or mechanical output or to enhance the performance of the unit ( i.e., steam delivered to an industrial process);</w:t>
      </w:r>
    </w:p>
    <w:p w:rsidR="00BB64FF" w:rsidRPr="00BB64FF" w:rsidRDefault="00BB64FF" w:rsidP="00BB64FF">
      <w:pPr>
        <w:spacing w:after="40"/>
        <w:ind w:left="20"/>
        <w:rPr>
          <w:szCs w:val="22"/>
        </w:rPr>
      </w:pPr>
      <w:r w:rsidRPr="00BB64FF">
        <w:rPr>
          <w:szCs w:val="22"/>
        </w:rPr>
        <w:t xml:space="preserve">(3) For combined heat and power facilities constructed, reconstructed, or modified after May 3, 2011, the gross electrical or mechanical output from the affected facility divided by 0.95 minus any electricity used to power the </w:t>
      </w:r>
      <w:proofErr w:type="spellStart"/>
      <w:r w:rsidRPr="00BB64FF">
        <w:rPr>
          <w:szCs w:val="22"/>
        </w:rPr>
        <w:t>feedwater</w:t>
      </w:r>
      <w:proofErr w:type="spellEnd"/>
      <w:r w:rsidRPr="00BB64FF">
        <w:rPr>
          <w:szCs w:val="22"/>
        </w:rPr>
        <w:t xml:space="preserve"> pumps and any associated gas compressors (air separation unit main compressor, oxygen compressor, and nitrogen compressor) plus 75 percent of the useful thermal output measured relative to ISO conditions that is not used to generate additional electrical or mechanical output or to enhance the performance of the unit ( i.e., steam delivered to an industrial process);</w:t>
      </w:r>
    </w:p>
    <w:p w:rsidR="00BB64FF" w:rsidRPr="00BB64FF" w:rsidRDefault="00BB64FF" w:rsidP="00BB64FF">
      <w:pPr>
        <w:spacing w:after="40"/>
        <w:ind w:left="20"/>
        <w:rPr>
          <w:szCs w:val="22"/>
        </w:rPr>
      </w:pPr>
      <w:r w:rsidRPr="00BB64FF">
        <w:rPr>
          <w:szCs w:val="22"/>
        </w:rPr>
        <w:t xml:space="preserve">(4) For a IGCC electric utility generating unit that coproduces chemicals constructed, reconstructed, or modified after May 3, 2011, the gross useful work performed is the gross electrical or mechanical output from the unit minus electricity used to power the </w:t>
      </w:r>
      <w:proofErr w:type="spellStart"/>
      <w:r w:rsidRPr="00BB64FF">
        <w:rPr>
          <w:szCs w:val="22"/>
        </w:rPr>
        <w:t>feedwater</w:t>
      </w:r>
      <w:proofErr w:type="spellEnd"/>
      <w:r w:rsidRPr="00BB64FF">
        <w:rPr>
          <w:szCs w:val="22"/>
        </w:rPr>
        <w:t xml:space="preserve"> pumps and any associated gas compressors (air separation unit main compressor, oxygen compressor, and nitrogen compressor) that are associated with power production plus 75 percent of the useful thermal output measured relative to ISO conditions that is not used to generate additional electrical or mechanical output or to enhance the performance of the unit ( i.e., steam delivered to an industrial process). Auxiliary loads that are associated with power production are determined based on the energy in the coproduced chemicals compared to the energy of the syngas combusted in combustion turbine engine and associated duct burners.</w:t>
      </w:r>
    </w:p>
    <w:p w:rsidR="00BB64FF" w:rsidRPr="00BB64FF" w:rsidRDefault="00BB64FF" w:rsidP="00BB64FF">
      <w:pPr>
        <w:spacing w:after="40"/>
        <w:ind w:left="20"/>
        <w:rPr>
          <w:szCs w:val="22"/>
        </w:rPr>
      </w:pPr>
      <w:r w:rsidRPr="00BB64FF">
        <w:rPr>
          <w:szCs w:val="22"/>
        </w:rPr>
        <w:t>24-hour period means the period of time between 12:01 a.m. and 12:00 midnight.</w:t>
      </w:r>
    </w:p>
    <w:p w:rsidR="00BB64FF" w:rsidRPr="00BB64FF" w:rsidRDefault="00BB64FF" w:rsidP="00BB64FF">
      <w:pPr>
        <w:spacing w:after="40"/>
        <w:ind w:left="20"/>
        <w:rPr>
          <w:szCs w:val="22"/>
        </w:rPr>
      </w:pPr>
      <w:r w:rsidRPr="00BB64FF">
        <w:rPr>
          <w:szCs w:val="22"/>
        </w:rPr>
        <w:t xml:space="preserve">Integrated gasification combined cycle electric utility steam generating unit or IGCC electric utility steam generating unit means an electric utility combined cycle gas turbine that is designed to burn fuels containing 50 percent (by heat input) or more solid-derived fuel not meeting the definition of natural gas. The Administrator </w:t>
      </w:r>
      <w:r w:rsidRPr="00BB64FF">
        <w:rPr>
          <w:szCs w:val="22"/>
        </w:rPr>
        <w:lastRenderedPageBreak/>
        <w:t>may waive the 50 percent solid-derived fuel requirement during periods of the gasification system construction, startup and commissioning, shutdown, or repair. No solid fuel is directly burned in the unit during operation.</w:t>
      </w:r>
    </w:p>
    <w:p w:rsidR="00BB64FF" w:rsidRPr="00BB64FF" w:rsidRDefault="00BB64FF" w:rsidP="00BB64FF">
      <w:pPr>
        <w:spacing w:after="40"/>
        <w:ind w:left="20"/>
        <w:rPr>
          <w:szCs w:val="22"/>
        </w:rPr>
      </w:pPr>
      <w:proofErr w:type="gramStart"/>
      <w:r w:rsidRPr="00BB64FF">
        <w:rPr>
          <w:szCs w:val="22"/>
        </w:rPr>
        <w:t>ISO conditions means</w:t>
      </w:r>
      <w:proofErr w:type="gramEnd"/>
      <w:r w:rsidRPr="00BB64FF">
        <w:rPr>
          <w:szCs w:val="22"/>
        </w:rPr>
        <w:t xml:space="preserve"> a temperature of 288 Kelvin, a relative humidity of 60 percent, and a pressure of 101.3 kilopascals.</w:t>
      </w:r>
    </w:p>
    <w:p w:rsidR="00BB64FF" w:rsidRPr="00BB64FF" w:rsidRDefault="00BB64FF" w:rsidP="00BB64FF">
      <w:pPr>
        <w:spacing w:after="40"/>
        <w:ind w:left="20"/>
        <w:rPr>
          <w:szCs w:val="22"/>
        </w:rPr>
      </w:pPr>
      <w:r w:rsidRPr="00BB64FF">
        <w:rPr>
          <w:szCs w:val="22"/>
        </w:rPr>
        <w:t>Lignite means coal that is classified as lignite A or B according to the American Society of Testing and Materials in ASTM D388 (incorporated by reference, see § 60.17).</w:t>
      </w:r>
    </w:p>
    <w:p w:rsidR="00BB64FF" w:rsidRPr="00BB64FF" w:rsidRDefault="00BB64FF" w:rsidP="00BB64FF">
      <w:pPr>
        <w:spacing w:after="40"/>
        <w:ind w:left="20"/>
        <w:rPr>
          <w:szCs w:val="22"/>
        </w:rPr>
      </w:pPr>
      <w:r w:rsidRPr="00BB64FF">
        <w:rPr>
          <w:szCs w:val="22"/>
        </w:rPr>
        <w:t xml:space="preserve">Natural gas means a fluid mixture of hydrocarbons (e.g., methane, ethane, or propane), composed of at least 70 percent methane by volume or that has a gross calorific value between 35 and 41 </w:t>
      </w:r>
      <w:proofErr w:type="spellStart"/>
      <w:r w:rsidRPr="00BB64FF">
        <w:rPr>
          <w:szCs w:val="22"/>
        </w:rPr>
        <w:t>megajoules</w:t>
      </w:r>
      <w:proofErr w:type="spellEnd"/>
      <w:r w:rsidRPr="00BB64FF">
        <w:rPr>
          <w:szCs w:val="22"/>
        </w:rPr>
        <w:t xml:space="preserve"> (MJ) per dry standard cubic meter (950 and 1,100 Btu per dry standard cubic foot), that maintains a gaseous state under ISO conditions. In addition, natural gas contains 20.0 grains or less of total sulfur per 100 standard cubic feet. Finally,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BB64FF" w:rsidRPr="00BB64FF" w:rsidRDefault="00BB64FF" w:rsidP="00BB64FF">
      <w:pPr>
        <w:spacing w:after="40"/>
        <w:ind w:left="20"/>
        <w:rPr>
          <w:szCs w:val="22"/>
        </w:rPr>
      </w:pPr>
      <w:r w:rsidRPr="00BB64FF">
        <w:rPr>
          <w:szCs w:val="22"/>
        </w:rPr>
        <w:t>Neighboring company means any one of those electric utility companies with one or more electric power interconnections to the principal company and which have geographically adjoining service areas.</w:t>
      </w:r>
    </w:p>
    <w:p w:rsidR="00BB64FF" w:rsidRPr="00BB64FF" w:rsidRDefault="00BB64FF" w:rsidP="00BB64FF">
      <w:pPr>
        <w:spacing w:after="40"/>
        <w:ind w:left="20"/>
        <w:rPr>
          <w:szCs w:val="22"/>
        </w:rPr>
      </w:pPr>
      <w:r w:rsidRPr="00BB64FF">
        <w:rPr>
          <w:szCs w:val="22"/>
        </w:rPr>
        <w:t>Net-electric output means the gross electric sales to the utility power distribution system minus purchased power on a calendar year basis.</w:t>
      </w:r>
    </w:p>
    <w:p w:rsidR="00BB64FF" w:rsidRPr="00BB64FF" w:rsidRDefault="00BB64FF" w:rsidP="00BB64FF">
      <w:pPr>
        <w:spacing w:after="40"/>
        <w:ind w:left="20"/>
        <w:rPr>
          <w:szCs w:val="22"/>
        </w:rPr>
      </w:pPr>
      <w:r w:rsidRPr="00BB64FF">
        <w:rPr>
          <w:szCs w:val="22"/>
        </w:rPr>
        <w:t xml:space="preserve">Net energy output means the gross energy output minus the parasitic load associated with power production. Parasitic load includes, but is not limited to, the power required to operate the equipment used for fuel delivery systems, air pollution control systems, wastewater treatment systems, ash handling and disposal systems, and other controls </w:t>
      </w:r>
      <w:proofErr w:type="gramStart"/>
      <w:r w:rsidRPr="00BB64FF">
        <w:rPr>
          <w:szCs w:val="22"/>
        </w:rPr>
        <w:t>( i.e</w:t>
      </w:r>
      <w:proofErr w:type="gramEnd"/>
      <w:r w:rsidRPr="00BB64FF">
        <w:rPr>
          <w:szCs w:val="22"/>
        </w:rPr>
        <w:t>., pumps, fans, compressors, motors, instrumentation, and other ancillary equipment required to operate the affected facility).</w:t>
      </w:r>
    </w:p>
    <w:p w:rsidR="00BB64FF" w:rsidRPr="00BB64FF" w:rsidRDefault="00BB64FF" w:rsidP="00BB64FF">
      <w:pPr>
        <w:spacing w:after="40"/>
        <w:ind w:left="20"/>
        <w:rPr>
          <w:szCs w:val="22"/>
        </w:rPr>
      </w:pPr>
      <w:proofErr w:type="spellStart"/>
      <w:r w:rsidRPr="00BB64FF">
        <w:rPr>
          <w:szCs w:val="22"/>
        </w:rPr>
        <w:t>Noncontinental</w:t>
      </w:r>
      <w:proofErr w:type="spellEnd"/>
      <w:r w:rsidRPr="00BB64FF">
        <w:rPr>
          <w:szCs w:val="22"/>
        </w:rPr>
        <w:t xml:space="preserve"> area means the State of Hawaii, the Virgin Islands, Guam, American Samoa, the Commonwealth of Puerto Rico, or the Northern Mariana Islands.</w:t>
      </w:r>
    </w:p>
    <w:p w:rsidR="00BB64FF" w:rsidRPr="00BB64FF" w:rsidRDefault="00BB64FF" w:rsidP="00BB64FF">
      <w:pPr>
        <w:spacing w:after="40"/>
        <w:ind w:left="20"/>
        <w:rPr>
          <w:szCs w:val="22"/>
        </w:rPr>
      </w:pPr>
      <w:r w:rsidRPr="00BB64FF">
        <w:rPr>
          <w:szCs w:val="22"/>
        </w:rPr>
        <w:t>Out-of-control period means any period beginning with the quadrant corresponding to the completion of a daily calibration error, linearity check, or quality assurance audit that indicates that the instrument is not measuring and recording within the applicable performance specifications and ending with the quadrant corresponding to the completion of an additional calibration error, linearity check, or quality assurance audit following corrective action that demonstrates that the instrument is measuring and recording within the applicable performance specifications.</w:t>
      </w:r>
    </w:p>
    <w:p w:rsidR="00BB64FF" w:rsidRPr="00BB64FF" w:rsidRDefault="00BB64FF" w:rsidP="00BB64FF">
      <w:pPr>
        <w:spacing w:after="40"/>
        <w:ind w:left="20"/>
        <w:rPr>
          <w:szCs w:val="22"/>
        </w:rPr>
      </w:pPr>
      <w:r w:rsidRPr="00BB64FF">
        <w:rPr>
          <w:szCs w:val="22"/>
        </w:rPr>
        <w:t>Petroleum for facilities constructed, reconstructed, or modified before May 4, 2011, means crude oil or a fuel derived from crude oil, including, but not limited to, distillate oil, and residual oil. For units constructed, reconstructed, or modified after May 3, 2011, petroleum means crude oil or a fuel derived from crude oil, including, but not limited to, distillate oil, residual oil, and petroleum coke.</w:t>
      </w:r>
    </w:p>
    <w:p w:rsidR="00BB64FF" w:rsidRPr="00BB64FF" w:rsidRDefault="00BB64FF" w:rsidP="00BB64FF">
      <w:pPr>
        <w:spacing w:after="40"/>
        <w:ind w:left="20"/>
        <w:rPr>
          <w:szCs w:val="22"/>
        </w:rPr>
      </w:pPr>
      <w:r w:rsidRPr="00BB64FF">
        <w:rPr>
          <w:szCs w:val="22"/>
        </w:rPr>
        <w:t xml:space="preserve">Petroleum coke, also known as “petcoke,” means a carbonization product of high-boiling hydrocarbon fractions obtained in petroleum processing (heavy residues). Petroleum coke is typically derived from oil refinery </w:t>
      </w:r>
      <w:proofErr w:type="spellStart"/>
      <w:r w:rsidRPr="00BB64FF">
        <w:rPr>
          <w:szCs w:val="22"/>
        </w:rPr>
        <w:t>coker</w:t>
      </w:r>
      <w:proofErr w:type="spellEnd"/>
      <w:r w:rsidRPr="00BB64FF">
        <w:rPr>
          <w:szCs w:val="22"/>
        </w:rPr>
        <w:t xml:space="preserve"> units or other cracking processes.</w:t>
      </w:r>
    </w:p>
    <w:p w:rsidR="00BB64FF" w:rsidRPr="00BB64FF" w:rsidRDefault="00BB64FF" w:rsidP="00BB64FF">
      <w:pPr>
        <w:spacing w:after="40"/>
        <w:ind w:left="20"/>
        <w:rPr>
          <w:szCs w:val="22"/>
        </w:rPr>
      </w:pPr>
      <w:r w:rsidRPr="00BB64FF">
        <w:rPr>
          <w:szCs w:val="22"/>
        </w:rPr>
        <w:t>Potential combustion concentration means the theoretical emissions (nanograms per joule (</w:t>
      </w:r>
      <w:proofErr w:type="spellStart"/>
      <w:r w:rsidRPr="00BB64FF">
        <w:rPr>
          <w:szCs w:val="22"/>
        </w:rPr>
        <w:t>ng</w:t>
      </w:r>
      <w:proofErr w:type="spellEnd"/>
      <w:r w:rsidRPr="00BB64FF">
        <w:rPr>
          <w:szCs w:val="22"/>
        </w:rPr>
        <w:t>/J), lb/</w:t>
      </w:r>
      <w:proofErr w:type="spellStart"/>
      <w:r w:rsidRPr="00BB64FF">
        <w:rPr>
          <w:szCs w:val="22"/>
        </w:rPr>
        <w:t>MMBtu</w:t>
      </w:r>
      <w:proofErr w:type="spellEnd"/>
      <w:r w:rsidRPr="00BB64FF">
        <w:rPr>
          <w:szCs w:val="22"/>
        </w:rPr>
        <w:t xml:space="preserve"> heat input) that would result from combustion of a fuel in an </w:t>
      </w:r>
      <w:proofErr w:type="spellStart"/>
      <w:r w:rsidRPr="00BB64FF">
        <w:rPr>
          <w:szCs w:val="22"/>
        </w:rPr>
        <w:t>uncleaned</w:t>
      </w:r>
      <w:proofErr w:type="spellEnd"/>
      <w:r w:rsidRPr="00BB64FF">
        <w:rPr>
          <w:szCs w:val="22"/>
        </w:rPr>
        <w:t xml:space="preserve"> state without emission control systems. For sulfur dioxide (SO</w:t>
      </w:r>
      <w:r w:rsidRPr="00F4004E">
        <w:rPr>
          <w:szCs w:val="22"/>
          <w:vertAlign w:val="subscript"/>
        </w:rPr>
        <w:t>2</w:t>
      </w:r>
      <w:r w:rsidRPr="00BB64FF">
        <w:rPr>
          <w:szCs w:val="22"/>
        </w:rPr>
        <w:t>) the potential combustion concentration is determined under § 60.50Da(c).</w:t>
      </w:r>
    </w:p>
    <w:p w:rsidR="00BB64FF" w:rsidRPr="00BB64FF" w:rsidRDefault="00BB64FF" w:rsidP="00BB64FF">
      <w:pPr>
        <w:spacing w:after="40"/>
        <w:ind w:left="20"/>
        <w:rPr>
          <w:szCs w:val="22"/>
        </w:rPr>
      </w:pPr>
      <w:r w:rsidRPr="00BB64FF">
        <w:rPr>
          <w:szCs w:val="22"/>
        </w:rPr>
        <w:t xml:space="preserve">Potential electrical output capacity means 33 percent of the maximum design heat input capacity of the steam generating unit, divided by 3,413 Btu/KWh, divided by 1,000 kWh/MWh, and multiplied by 8,760 hr/yr </w:t>
      </w:r>
      <w:proofErr w:type="gramStart"/>
      <w:r w:rsidRPr="00BB64FF">
        <w:rPr>
          <w:szCs w:val="22"/>
        </w:rPr>
        <w:t>( e.g</w:t>
      </w:r>
      <w:proofErr w:type="gramEnd"/>
      <w:r w:rsidRPr="00BB64FF">
        <w:rPr>
          <w:szCs w:val="22"/>
        </w:rPr>
        <w:t>. , a steam generating unit with a 100 MW (340 MMBtu/hr) fossil-fuel heat input capacity would have a 289,080 MWh 12 month potential electrical output capacity). For electric utility combined cycle gas turbines the potential electrical output capacity is determined on the basis of the fossil-fuel firing capacity of the steam generator exclusive of the heat input and electrical power contribution by the gas turbine.</w:t>
      </w:r>
    </w:p>
    <w:p w:rsidR="00BB64FF" w:rsidRPr="00BB64FF" w:rsidRDefault="00BB64FF" w:rsidP="00BB64FF">
      <w:pPr>
        <w:spacing w:after="40"/>
        <w:ind w:left="20"/>
        <w:rPr>
          <w:szCs w:val="22"/>
        </w:rPr>
      </w:pPr>
      <w:r w:rsidRPr="00BB64FF">
        <w:rPr>
          <w:szCs w:val="22"/>
        </w:rPr>
        <w:lastRenderedPageBreak/>
        <w:t>Resource recovery unit means a facility that combusts more than 75 percent non-fossil fuel on a quarterly (calendar) heat input basis.</w:t>
      </w:r>
    </w:p>
    <w:p w:rsidR="00BB64FF" w:rsidRPr="00BB64FF" w:rsidRDefault="00BB64FF" w:rsidP="00BB64FF">
      <w:pPr>
        <w:spacing w:after="40"/>
        <w:ind w:left="20"/>
        <w:rPr>
          <w:szCs w:val="22"/>
        </w:rPr>
      </w:pPr>
      <w:r w:rsidRPr="00BB64FF">
        <w:rPr>
          <w:szCs w:val="22"/>
        </w:rPr>
        <w:t xml:space="preserve">Solid-derived fuel means any solid, liquid, or gaseous fuel derived from solid fuel for the purpose of creating useful heat and includes, but is not limited to, solvent refined coal, </w:t>
      </w:r>
      <w:proofErr w:type="spellStart"/>
      <w:r w:rsidRPr="00BB64FF">
        <w:rPr>
          <w:szCs w:val="22"/>
        </w:rPr>
        <w:t>liquified</w:t>
      </w:r>
      <w:proofErr w:type="spellEnd"/>
      <w:r w:rsidRPr="00BB64FF">
        <w:rPr>
          <w:szCs w:val="22"/>
        </w:rPr>
        <w:t xml:space="preserve"> coal, synthetic gas, gasified coal, gasified petroleum coke, gasified biomass, and gasified tire derived fuel.</w:t>
      </w:r>
    </w:p>
    <w:p w:rsidR="00BB64FF" w:rsidRPr="00BB64FF" w:rsidRDefault="00BB64FF" w:rsidP="00BB64FF">
      <w:pPr>
        <w:spacing w:after="40"/>
        <w:ind w:left="20"/>
        <w:rPr>
          <w:szCs w:val="22"/>
        </w:rPr>
      </w:pPr>
      <w:r w:rsidRPr="00BB64FF">
        <w:rPr>
          <w:szCs w:val="22"/>
        </w:rPr>
        <w:t>Steam generating unit for facilities constructed, reconstructed, or modified before May 4, 2011, means any furnace, boiler, or other device used for combusting fuel for the purpose of producing steam (including fossil-fuel-fired steam generators associated with combined cycle gas turbines; nuclear steam generators are not included). For units constructed, reconstructed, or modified after May 3, 2011, steam generating unit means any furnace, boiler, or other device used for combusting fuel for the purpose of producing steam (including fossil-fuel-fired steam generators associated with combined cycle gas turbines; nuclear steam generators are not included) plus any integrated combustion turbines and fuel cells.</w:t>
      </w:r>
    </w:p>
    <w:p w:rsidR="00BB64FF" w:rsidRPr="00BB64FF" w:rsidRDefault="00BB64FF" w:rsidP="00BB64FF">
      <w:pPr>
        <w:spacing w:after="40"/>
        <w:ind w:left="20"/>
        <w:rPr>
          <w:szCs w:val="22"/>
        </w:rPr>
      </w:pPr>
      <w:proofErr w:type="spellStart"/>
      <w:r w:rsidRPr="00BB64FF">
        <w:rPr>
          <w:szCs w:val="22"/>
        </w:rPr>
        <w:t>Subbituminous</w:t>
      </w:r>
      <w:proofErr w:type="spellEnd"/>
      <w:r w:rsidRPr="00BB64FF">
        <w:rPr>
          <w:szCs w:val="22"/>
        </w:rPr>
        <w:t xml:space="preserve"> coal means coal that is classified as </w:t>
      </w:r>
      <w:proofErr w:type="spellStart"/>
      <w:r w:rsidRPr="00BB64FF">
        <w:rPr>
          <w:szCs w:val="22"/>
        </w:rPr>
        <w:t>subbituminous</w:t>
      </w:r>
      <w:proofErr w:type="spellEnd"/>
      <w:r w:rsidRPr="00BB64FF">
        <w:rPr>
          <w:szCs w:val="22"/>
        </w:rPr>
        <w:t xml:space="preserve"> A, B, or C according to the American Society of Testing and Materials in ASTM D388 (incorporated by reference, see § 60.17).</w:t>
      </w:r>
    </w:p>
    <w:p w:rsidR="00BB64FF" w:rsidRPr="00BB64FF" w:rsidRDefault="00BB64FF" w:rsidP="00BB64FF">
      <w:pPr>
        <w:spacing w:after="40"/>
        <w:ind w:left="20"/>
        <w:rPr>
          <w:szCs w:val="22"/>
        </w:rPr>
      </w:pPr>
      <w:r w:rsidRPr="00BB64FF">
        <w:rPr>
          <w:szCs w:val="22"/>
        </w:rPr>
        <w:t>Wet flue gas desulfurization technology or wet FGD means a SO</w:t>
      </w:r>
      <w:r w:rsidRPr="00F4004E">
        <w:rPr>
          <w:szCs w:val="22"/>
          <w:vertAlign w:val="subscript"/>
        </w:rPr>
        <w:t>2</w:t>
      </w:r>
      <w:r w:rsidRPr="00BB64FF">
        <w:rPr>
          <w:szCs w:val="22"/>
        </w:rPr>
        <w:t xml:space="preserve"> control system that is located downstream of the steam generating unit and removes sulfur oxides from the combustion gases of the steam generating unit by contacting the combustion gases with an alkaline slurry or solution and forming a liquid material. This definition applies to devices where the aqueous liquid material product of this contact is subsequently converted to other forms. Alkaline reagents used in wet FGD technology include, but are not limited to, lime, limestone, and sodium.</w:t>
      </w:r>
    </w:p>
    <w:p w:rsidR="00BB64FF" w:rsidRPr="00BB64FF" w:rsidRDefault="00BB64FF" w:rsidP="00BB64FF">
      <w:pPr>
        <w:spacing w:after="40"/>
        <w:ind w:left="20"/>
        <w:rPr>
          <w:szCs w:val="22"/>
        </w:rPr>
      </w:pPr>
      <w:r w:rsidRPr="00BB64FF">
        <w:rPr>
          <w:szCs w:val="22"/>
        </w:rPr>
        <w:t>[72 FR 32722, June 13, 2007, as amended at 74 FR 5079, Jan. 28, 2009; 77 FR 9448, Feb. 16, 2012; 77 FR 23402, Apr. 19, 2012; 78 FR 24082, Apr. 24, 2013]</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60.42Da   Standards for particulate matter (PM).</w:t>
      </w:r>
      <w:proofErr w:type="gramEnd"/>
    </w:p>
    <w:p w:rsidR="00BB64FF" w:rsidRPr="00BB64FF" w:rsidRDefault="00BB64FF" w:rsidP="00BB64FF">
      <w:pPr>
        <w:spacing w:after="40"/>
        <w:ind w:left="20"/>
        <w:rPr>
          <w:szCs w:val="22"/>
        </w:rPr>
      </w:pPr>
      <w:r w:rsidRPr="00BB64FF">
        <w:rPr>
          <w:szCs w:val="22"/>
        </w:rPr>
        <w:t xml:space="preserve">(a) Except as provided in paragraph (f) of this section, on and after the date on which the initial performance test is completed or required to be completed under § 60.8, whichever date comes first, an owner or operator of an affected facility shall not cause to be discharged into the atmosphere from any affected facility for which construction, reconstruction, or modification commenced before March 1, 2005, any gases that contain PM in excess of 13 </w:t>
      </w:r>
      <w:proofErr w:type="spellStart"/>
      <w:r w:rsidRPr="00BB64FF">
        <w:rPr>
          <w:szCs w:val="22"/>
        </w:rPr>
        <w:t>ng</w:t>
      </w:r>
      <w:proofErr w:type="spellEnd"/>
      <w:r w:rsidRPr="00BB64FF">
        <w:rPr>
          <w:szCs w:val="22"/>
        </w:rPr>
        <w:t>/J (0.03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(b) Except as provided in paragraphs (b)(1) and (b)(2) of this section, on and after the date the initial PM performance test is completed or required to be completed under § 60.8, whichever date comes first, an owner or operator of an affected facility shall not cause to be discharged into the atmosphere any gases which exhibit greater than 20 percent opacity (6-minute average), except for one 6-minute period per hour of not more than 27 percent opacity.</w:t>
      </w:r>
    </w:p>
    <w:p w:rsidR="00BB64FF" w:rsidRPr="00BB64FF" w:rsidRDefault="00BB64FF" w:rsidP="00BB64FF">
      <w:pPr>
        <w:spacing w:after="40"/>
        <w:ind w:left="20"/>
        <w:rPr>
          <w:szCs w:val="22"/>
        </w:rPr>
      </w:pPr>
      <w:r w:rsidRPr="00BB64FF">
        <w:rPr>
          <w:szCs w:val="22"/>
        </w:rPr>
        <w:t xml:space="preserve"> (1) An owner or operator of an affected facility that elects to install, calibrate, maintain, and operate a continuous emissions monitoring system (CEMS) for measuring PM emissions according to the requirements of this subpart is exempt from the opacity standard specified in this paragraph (b) of this section.</w:t>
      </w:r>
    </w:p>
    <w:p w:rsidR="00BB64FF" w:rsidRPr="00BB64FF" w:rsidRDefault="00BB64FF" w:rsidP="00BB64FF">
      <w:pPr>
        <w:spacing w:after="40"/>
        <w:ind w:left="20"/>
        <w:rPr>
          <w:szCs w:val="22"/>
        </w:rPr>
      </w:pPr>
      <w:r w:rsidRPr="00BB64FF">
        <w:rPr>
          <w:szCs w:val="22"/>
        </w:rPr>
        <w:t>(2) An owner or operator of an affected facility that combusts only natural gas and/or synthetic natural gas that chemically meets the definition of natural gas is exempt from the opacity standard specified in paragraph (b) of this section.</w:t>
      </w:r>
    </w:p>
    <w:p w:rsidR="00BB64FF" w:rsidRPr="00BB64FF" w:rsidRDefault="00BB64FF" w:rsidP="00BB64FF">
      <w:pPr>
        <w:spacing w:after="40"/>
        <w:ind w:left="20"/>
        <w:rPr>
          <w:szCs w:val="22"/>
        </w:rPr>
      </w:pPr>
      <w:r w:rsidRPr="00BB64FF">
        <w:rPr>
          <w:szCs w:val="22"/>
        </w:rPr>
        <w:t>(c) Except as provided in paragraphs (d) and (f) of this section, on and after the date on which the initial performance test is completed or required to be completed under § 60.8, whichever date comes first, no owner or operator of an affected facility that commenced construction, reconstruction, or modification after February 28, 2005, but before May 4, 2011, shall cause to be discharged into the atmosphere from that affected facility any gases that contain PM in excess of either:</w:t>
      </w:r>
    </w:p>
    <w:p w:rsidR="00BB64FF" w:rsidRPr="00BB64FF" w:rsidRDefault="00BB64FF" w:rsidP="00BB64FF">
      <w:pPr>
        <w:spacing w:after="40"/>
        <w:ind w:left="20"/>
        <w:rPr>
          <w:szCs w:val="22"/>
        </w:rPr>
      </w:pPr>
      <w:r w:rsidRPr="00BB64FF">
        <w:rPr>
          <w:szCs w:val="22"/>
        </w:rPr>
        <w:t xml:space="preserve">(1) 18 </w:t>
      </w:r>
      <w:proofErr w:type="spellStart"/>
      <w:r w:rsidRPr="00BB64FF">
        <w:rPr>
          <w:szCs w:val="22"/>
        </w:rPr>
        <w:t>ng</w:t>
      </w:r>
      <w:proofErr w:type="spellEnd"/>
      <w:r w:rsidRPr="00BB64FF">
        <w:rPr>
          <w:szCs w:val="22"/>
        </w:rPr>
        <w:t>/J (0.14 lb/</w:t>
      </w:r>
      <w:proofErr w:type="spellStart"/>
      <w:r w:rsidRPr="00BB64FF">
        <w:rPr>
          <w:szCs w:val="22"/>
        </w:rPr>
        <w:t>MWh</w:t>
      </w:r>
      <w:proofErr w:type="spellEnd"/>
      <w:r w:rsidRPr="00BB64FF">
        <w:rPr>
          <w:szCs w:val="22"/>
        </w:rPr>
        <w:t>) gross energy output; or</w:t>
      </w:r>
    </w:p>
    <w:p w:rsidR="00BB64FF" w:rsidRPr="00BB64FF" w:rsidRDefault="00BB64FF" w:rsidP="00BB64FF">
      <w:pPr>
        <w:spacing w:after="40"/>
        <w:ind w:left="20"/>
        <w:rPr>
          <w:szCs w:val="22"/>
        </w:rPr>
      </w:pPr>
      <w:r w:rsidRPr="00BB64FF">
        <w:rPr>
          <w:szCs w:val="22"/>
        </w:rPr>
        <w:lastRenderedPageBreak/>
        <w:t xml:space="preserve">(2) 6.4 </w:t>
      </w:r>
      <w:proofErr w:type="spellStart"/>
      <w:r w:rsidRPr="00BB64FF">
        <w:rPr>
          <w:szCs w:val="22"/>
        </w:rPr>
        <w:t>ng</w:t>
      </w:r>
      <w:proofErr w:type="spellEnd"/>
      <w:r w:rsidRPr="00BB64FF">
        <w:rPr>
          <w:szCs w:val="22"/>
        </w:rPr>
        <w:t>/J (0.015 lb/</w:t>
      </w:r>
      <w:proofErr w:type="spellStart"/>
      <w:r w:rsidRPr="00BB64FF">
        <w:rPr>
          <w:szCs w:val="22"/>
        </w:rPr>
        <w:t>MMBtu</w:t>
      </w:r>
      <w:proofErr w:type="spellEnd"/>
      <w:r w:rsidRPr="00BB64FF">
        <w:rPr>
          <w:szCs w:val="22"/>
        </w:rPr>
        <w:t>) heat input derived from the combustion of solid, liquid, or gaseous fuel.</w:t>
      </w:r>
    </w:p>
    <w:p w:rsidR="00BB64FF" w:rsidRPr="00BB64FF" w:rsidRDefault="00BB64FF" w:rsidP="00BB64FF">
      <w:pPr>
        <w:spacing w:after="40"/>
        <w:ind w:left="20"/>
        <w:rPr>
          <w:szCs w:val="22"/>
        </w:rPr>
      </w:pPr>
      <w:r w:rsidRPr="00BB64FF">
        <w:rPr>
          <w:szCs w:val="22"/>
        </w:rPr>
        <w:t>(d) As an alternative to meeting the requirements of paragraph (c) of this section, the owner or operator of an affected facility for which construction, reconstruction, or modification commenced after February 28, 2005, but before May 4, 2011, may elect to meet the requirements of this paragraph. On and after the date on which the initial performance test is completed or required to be completed under § 60.8, whichever date comes first, no owner or operator of an affected facility shall cause to be discharged into the atmosphere from that affected facility any gases that contain PM in excess of:</w:t>
      </w:r>
    </w:p>
    <w:p w:rsidR="00BB64FF" w:rsidRPr="00BB64FF" w:rsidRDefault="00BB64FF" w:rsidP="00BB64FF">
      <w:pPr>
        <w:spacing w:after="40"/>
        <w:ind w:left="20"/>
        <w:rPr>
          <w:szCs w:val="22"/>
        </w:rPr>
      </w:pPr>
      <w:r w:rsidRPr="00BB64FF">
        <w:rPr>
          <w:szCs w:val="22"/>
        </w:rPr>
        <w:t xml:space="preserve">(1) 13 </w:t>
      </w:r>
      <w:proofErr w:type="spellStart"/>
      <w:r w:rsidRPr="00BB64FF">
        <w:rPr>
          <w:szCs w:val="22"/>
        </w:rPr>
        <w:t>ng</w:t>
      </w:r>
      <w:proofErr w:type="spellEnd"/>
      <w:r w:rsidRPr="00BB64FF">
        <w:rPr>
          <w:szCs w:val="22"/>
        </w:rPr>
        <w:t>/J (0.030 lb/</w:t>
      </w:r>
      <w:proofErr w:type="spellStart"/>
      <w:r w:rsidRPr="00BB64FF">
        <w:rPr>
          <w:szCs w:val="22"/>
        </w:rPr>
        <w:t>MMBtu</w:t>
      </w:r>
      <w:proofErr w:type="spellEnd"/>
      <w:r w:rsidRPr="00BB64FF">
        <w:rPr>
          <w:szCs w:val="22"/>
        </w:rPr>
        <w:t>) heat input derived from the combustion of solid, liquid, or gaseous fuel, and</w:t>
      </w:r>
    </w:p>
    <w:p w:rsidR="00BB64FF" w:rsidRPr="00BB64FF" w:rsidRDefault="00BB64FF" w:rsidP="00BB64FF">
      <w:pPr>
        <w:spacing w:after="40"/>
        <w:ind w:left="20"/>
        <w:rPr>
          <w:szCs w:val="22"/>
        </w:rPr>
      </w:pPr>
      <w:r w:rsidRPr="00BB64FF">
        <w:rPr>
          <w:szCs w:val="22"/>
        </w:rPr>
        <w:t xml:space="preserve">(2) For an affected facility that commenced construction or reconstruction, 0.1 percent of the combustion concentration determined according to the procedure in § </w:t>
      </w:r>
      <w:proofErr w:type="gramStart"/>
      <w:r w:rsidRPr="00BB64FF">
        <w:rPr>
          <w:szCs w:val="22"/>
        </w:rPr>
        <w:t>60.48Da(</w:t>
      </w:r>
      <w:proofErr w:type="gramEnd"/>
      <w:r w:rsidRPr="00BB64FF">
        <w:rPr>
          <w:szCs w:val="22"/>
        </w:rPr>
        <w:t>o)(5) (99.9 percent reduction) when combusting solid, liquid, or gaseous fuel, or</w:t>
      </w:r>
    </w:p>
    <w:p w:rsidR="00BB64FF" w:rsidRPr="00BB64FF" w:rsidRDefault="00BB64FF" w:rsidP="00BB64FF">
      <w:pPr>
        <w:spacing w:after="40"/>
        <w:ind w:left="20"/>
        <w:rPr>
          <w:szCs w:val="22"/>
        </w:rPr>
      </w:pPr>
      <w:r w:rsidRPr="00BB64FF">
        <w:rPr>
          <w:szCs w:val="22"/>
        </w:rPr>
        <w:t xml:space="preserve">(3) For an affected facility that commenced modification, 0.2 percent of the combustion concentration determined according to the procedure in § </w:t>
      </w:r>
      <w:proofErr w:type="gramStart"/>
      <w:r w:rsidRPr="00BB64FF">
        <w:rPr>
          <w:szCs w:val="22"/>
        </w:rPr>
        <w:t>60.48Da(</w:t>
      </w:r>
      <w:proofErr w:type="gramEnd"/>
      <w:r w:rsidRPr="00BB64FF">
        <w:rPr>
          <w:szCs w:val="22"/>
        </w:rPr>
        <w:t>o)(5) (99.8 percent reduction) when combusting solid, liquid, or gaseous fuel.</w:t>
      </w:r>
    </w:p>
    <w:p w:rsidR="00BB64FF" w:rsidRPr="00BB64FF" w:rsidRDefault="00BB64FF" w:rsidP="00BB64FF">
      <w:pPr>
        <w:spacing w:after="40"/>
        <w:ind w:left="20"/>
        <w:rPr>
          <w:szCs w:val="22"/>
        </w:rPr>
      </w:pPr>
      <w:r w:rsidRPr="00BB64FF">
        <w:rPr>
          <w:szCs w:val="22"/>
        </w:rPr>
        <w:t>(e) Except as provided in paragraph (f) of this section, the owner or operator of an affected facility that commenced construction, reconstruction, or modification commenced after May 3, 2011, shall meet the requirements specified in paragraphs (e)(1) and (2) of this section.</w:t>
      </w:r>
    </w:p>
    <w:p w:rsidR="00BB64FF" w:rsidRPr="00BB64FF" w:rsidRDefault="00BB64FF" w:rsidP="00BB64FF">
      <w:pPr>
        <w:spacing w:after="40"/>
        <w:ind w:left="20"/>
        <w:rPr>
          <w:szCs w:val="22"/>
        </w:rPr>
      </w:pPr>
      <w:r w:rsidRPr="00BB64FF">
        <w:rPr>
          <w:szCs w:val="22"/>
        </w:rPr>
        <w:t>(1) On and after the date on which the initial performance test is completed or required to be completed under § 60.8, whichever date comes first, the owner or operator shall not cause to be discharged into the atmosphere from that affected facility any gases that contain PM in excess of the applicable emissions limit specified in paragraphs (e</w:t>
      </w:r>
      <w:proofErr w:type="gramStart"/>
      <w:r w:rsidRPr="00BB64FF">
        <w:rPr>
          <w:szCs w:val="22"/>
        </w:rPr>
        <w:t>)(</w:t>
      </w:r>
      <w:proofErr w:type="gramEnd"/>
      <w:r w:rsidRPr="00BB64FF">
        <w:rPr>
          <w:szCs w:val="22"/>
        </w:rPr>
        <w:t>1)(</w:t>
      </w:r>
      <w:proofErr w:type="spellStart"/>
      <w:r w:rsidRPr="00BB64FF">
        <w:rPr>
          <w:szCs w:val="22"/>
        </w:rPr>
        <w:t>i</w:t>
      </w:r>
      <w:proofErr w:type="spellEnd"/>
      <w:r w:rsidRPr="00BB64FF">
        <w:rPr>
          <w:szCs w:val="22"/>
        </w:rPr>
        <w:t>) or (ii)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For an affected facility which commenced construction or reconstruction:</w:t>
      </w:r>
    </w:p>
    <w:p w:rsidR="00BB64FF" w:rsidRPr="00BB64FF" w:rsidRDefault="00BB64FF" w:rsidP="00BB64FF">
      <w:pPr>
        <w:spacing w:after="40"/>
        <w:ind w:left="20"/>
        <w:rPr>
          <w:szCs w:val="22"/>
        </w:rPr>
      </w:pPr>
      <w:r w:rsidRPr="00BB64FF">
        <w:rPr>
          <w:szCs w:val="22"/>
        </w:rPr>
        <w:t xml:space="preserve">(A) 11 </w:t>
      </w:r>
      <w:proofErr w:type="spellStart"/>
      <w:r w:rsidRPr="00BB64FF">
        <w:rPr>
          <w:szCs w:val="22"/>
        </w:rPr>
        <w:t>ng</w:t>
      </w:r>
      <w:proofErr w:type="spellEnd"/>
      <w:r w:rsidRPr="00BB64FF">
        <w:rPr>
          <w:szCs w:val="22"/>
        </w:rPr>
        <w:t>/J (0.090 lb/</w:t>
      </w:r>
      <w:proofErr w:type="spellStart"/>
      <w:r w:rsidRPr="00BB64FF">
        <w:rPr>
          <w:szCs w:val="22"/>
        </w:rPr>
        <w:t>MWh</w:t>
      </w:r>
      <w:proofErr w:type="spellEnd"/>
      <w:r w:rsidRPr="00BB64FF">
        <w:rPr>
          <w:szCs w:val="22"/>
        </w:rPr>
        <w:t>) gross energy output; or</w:t>
      </w:r>
    </w:p>
    <w:p w:rsidR="00BB64FF" w:rsidRPr="00BB64FF" w:rsidRDefault="00BB64FF" w:rsidP="00BB64FF">
      <w:pPr>
        <w:spacing w:after="40"/>
        <w:ind w:left="20"/>
        <w:rPr>
          <w:szCs w:val="22"/>
        </w:rPr>
      </w:pPr>
      <w:r w:rsidRPr="00BB64FF">
        <w:rPr>
          <w:szCs w:val="22"/>
        </w:rPr>
        <w:t xml:space="preserve">(B) 12 </w:t>
      </w:r>
      <w:proofErr w:type="spellStart"/>
      <w:r w:rsidRPr="00BB64FF">
        <w:rPr>
          <w:szCs w:val="22"/>
        </w:rPr>
        <w:t>ng</w:t>
      </w:r>
      <w:proofErr w:type="spellEnd"/>
      <w:r w:rsidRPr="00BB64FF">
        <w:rPr>
          <w:szCs w:val="22"/>
        </w:rPr>
        <w:t>/J (0.097 lb/</w:t>
      </w:r>
      <w:proofErr w:type="spellStart"/>
      <w:r w:rsidRPr="00BB64FF">
        <w:rPr>
          <w:szCs w:val="22"/>
        </w:rPr>
        <w:t>MWh</w:t>
      </w:r>
      <w:proofErr w:type="spellEnd"/>
      <w:r w:rsidRPr="00BB64FF">
        <w:rPr>
          <w:szCs w:val="22"/>
        </w:rPr>
        <w:t>) net energy output.</w:t>
      </w:r>
    </w:p>
    <w:p w:rsidR="00BB64FF" w:rsidRPr="00BB64FF" w:rsidRDefault="00BB64FF" w:rsidP="00BB64FF">
      <w:pPr>
        <w:spacing w:after="40"/>
        <w:ind w:left="20"/>
        <w:rPr>
          <w:szCs w:val="22"/>
        </w:rPr>
      </w:pPr>
      <w:r w:rsidRPr="00BB64FF">
        <w:rPr>
          <w:szCs w:val="22"/>
        </w:rPr>
        <w:t>(ii) For an affected facility which commenced modification, the emission limits specified in paragraphs (c) or (d) of this section.</w:t>
      </w:r>
    </w:p>
    <w:p w:rsidR="00BB64FF" w:rsidRPr="00BB64FF" w:rsidRDefault="00BB64FF" w:rsidP="00BB64FF">
      <w:pPr>
        <w:spacing w:after="40"/>
        <w:ind w:left="20"/>
        <w:rPr>
          <w:szCs w:val="22"/>
        </w:rPr>
      </w:pPr>
      <w:r w:rsidRPr="00BB64FF">
        <w:rPr>
          <w:szCs w:val="22"/>
        </w:rPr>
        <w:t>(2) During periods of startup and shutdown, the owner or operator shall meet the work practice standards specified in Table 3 to subpart UUUUU of part 63.</w:t>
      </w:r>
    </w:p>
    <w:p w:rsidR="00BB64FF" w:rsidRPr="00BB64FF" w:rsidRDefault="00BB64FF" w:rsidP="00BB64FF">
      <w:pPr>
        <w:spacing w:after="40"/>
        <w:ind w:left="20"/>
        <w:rPr>
          <w:szCs w:val="22"/>
        </w:rPr>
      </w:pPr>
      <w:r w:rsidRPr="00BB64FF">
        <w:rPr>
          <w:szCs w:val="22"/>
        </w:rPr>
        <w:t>(f) An owner or operator of an affected facility that meets the conditions in either paragraphs (f</w:t>
      </w:r>
      <w:proofErr w:type="gramStart"/>
      <w:r w:rsidRPr="00BB64FF">
        <w:rPr>
          <w:szCs w:val="22"/>
        </w:rPr>
        <w:t>)(</w:t>
      </w:r>
      <w:proofErr w:type="gramEnd"/>
      <w:r w:rsidRPr="00BB64FF">
        <w:rPr>
          <w:szCs w:val="22"/>
        </w:rPr>
        <w:t>1) or (2) of this section is exempt from the PM emissions limits in this section.</w:t>
      </w:r>
    </w:p>
    <w:p w:rsidR="00BB64FF" w:rsidRPr="00BB64FF" w:rsidRDefault="00BB64FF" w:rsidP="00BB64FF">
      <w:pPr>
        <w:spacing w:after="40"/>
        <w:ind w:left="20"/>
        <w:rPr>
          <w:szCs w:val="22"/>
        </w:rPr>
      </w:pPr>
      <w:r w:rsidRPr="00BB64FF">
        <w:rPr>
          <w:szCs w:val="22"/>
        </w:rPr>
        <w:t>(1) The affected facility combusts only gaseous or liquid fuels (excluding residual oil) with potential SO</w:t>
      </w:r>
      <w:r w:rsidRPr="00F4004E">
        <w:rPr>
          <w:szCs w:val="22"/>
          <w:vertAlign w:val="subscript"/>
        </w:rPr>
        <w:t>2</w:t>
      </w:r>
      <w:r w:rsidRPr="00BB64FF">
        <w:rPr>
          <w:szCs w:val="22"/>
        </w:rPr>
        <w:t xml:space="preserve"> emissions rates of 26 </w:t>
      </w:r>
      <w:proofErr w:type="spellStart"/>
      <w:r w:rsidRPr="00BB64FF">
        <w:rPr>
          <w:szCs w:val="22"/>
        </w:rPr>
        <w:t>ng</w:t>
      </w:r>
      <w:proofErr w:type="spellEnd"/>
      <w:r w:rsidRPr="00BB64FF">
        <w:rPr>
          <w:szCs w:val="22"/>
        </w:rPr>
        <w:t>/J (0.060 lb/</w:t>
      </w:r>
      <w:proofErr w:type="spellStart"/>
      <w:r w:rsidRPr="00BB64FF">
        <w:rPr>
          <w:szCs w:val="22"/>
        </w:rPr>
        <w:t>MMBtu</w:t>
      </w:r>
      <w:proofErr w:type="spellEnd"/>
      <w:r w:rsidRPr="00BB64FF">
        <w:rPr>
          <w:szCs w:val="22"/>
        </w:rPr>
        <w:t>) or less, and that does not use a post-combustion technology to reduce emissions of SO</w:t>
      </w:r>
      <w:r w:rsidRPr="00F4004E">
        <w:rPr>
          <w:szCs w:val="22"/>
          <w:vertAlign w:val="subscript"/>
        </w:rPr>
        <w:t>2</w:t>
      </w:r>
      <w:r w:rsidRPr="00BB64FF">
        <w:rPr>
          <w:szCs w:val="22"/>
        </w:rPr>
        <w:t xml:space="preserve"> or PM.</w:t>
      </w:r>
    </w:p>
    <w:p w:rsidR="00BB64FF" w:rsidRPr="00BB64FF" w:rsidRDefault="00BB64FF" w:rsidP="00BB64FF">
      <w:pPr>
        <w:spacing w:after="40"/>
        <w:ind w:left="20"/>
        <w:rPr>
          <w:szCs w:val="22"/>
        </w:rPr>
      </w:pPr>
      <w:r w:rsidRPr="00BB64FF">
        <w:rPr>
          <w:szCs w:val="22"/>
        </w:rPr>
        <w:t>(2) The affected facility is operated under a PM commercial demonstration permit issued by the Administrator according to the provisions of § 60.47Da.</w:t>
      </w:r>
    </w:p>
    <w:p w:rsidR="00BB64FF" w:rsidRPr="00BB64FF" w:rsidRDefault="00BB64FF" w:rsidP="00BB64FF">
      <w:pPr>
        <w:spacing w:after="40"/>
        <w:ind w:left="20"/>
        <w:rPr>
          <w:szCs w:val="22"/>
        </w:rPr>
      </w:pPr>
      <w:r w:rsidRPr="00BB64FF">
        <w:rPr>
          <w:szCs w:val="22"/>
        </w:rPr>
        <w:t>[77 FR 9450, Feb. 16, 2012, as amended at 78 FR 24083, Apr. 24, 2013]</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60.43Da   Standards for sulfur dioxide (SO</w:t>
      </w:r>
      <w:r w:rsidRPr="00F4004E">
        <w:rPr>
          <w:szCs w:val="22"/>
          <w:vertAlign w:val="subscript"/>
        </w:rPr>
        <w:t>2</w:t>
      </w:r>
      <w:r w:rsidRPr="00BB64FF">
        <w:rPr>
          <w:szCs w:val="22"/>
        </w:rPr>
        <w:t>).</w:t>
      </w:r>
      <w:proofErr w:type="gramEnd"/>
    </w:p>
    <w:p w:rsidR="00BB64FF" w:rsidRPr="00BB64FF" w:rsidRDefault="00BB64FF" w:rsidP="00BB64FF">
      <w:pPr>
        <w:spacing w:after="40"/>
        <w:ind w:left="20"/>
        <w:rPr>
          <w:szCs w:val="22"/>
        </w:rPr>
      </w:pPr>
      <w:r w:rsidRPr="00BB64FF">
        <w:rPr>
          <w:szCs w:val="22"/>
        </w:rPr>
        <w:t>(a) On and after the date on which the initial performance test is completed or required to be completed under § 60.8, whichever date comes first, no owner or operator subject to the provisions of this subpart shall cause to be discharged into the atmosphere from any affected facility which combusts solid fuel or solid-derived fuel and for which construction, reconstruction, or modification commenced before or on February 28, 2005, except as provided under paragraphs (c), (d), (f) or (h) of this section, any gases that contain SO</w:t>
      </w:r>
      <w:r w:rsidRPr="00F4004E">
        <w:rPr>
          <w:szCs w:val="22"/>
          <w:vertAlign w:val="subscript"/>
        </w:rPr>
        <w:t>2</w:t>
      </w:r>
      <w:r w:rsidRPr="00BB64FF">
        <w:rPr>
          <w:szCs w:val="22"/>
        </w:rPr>
        <w:t xml:space="preserve"> in excess of:</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lastRenderedPageBreak/>
        <w:t xml:space="preserve">(1) 520 </w:t>
      </w:r>
      <w:proofErr w:type="spellStart"/>
      <w:r w:rsidRPr="00BB64FF">
        <w:rPr>
          <w:szCs w:val="22"/>
        </w:rPr>
        <w:t>ng</w:t>
      </w:r>
      <w:proofErr w:type="spellEnd"/>
      <w:r w:rsidRPr="00BB64FF">
        <w:rPr>
          <w:szCs w:val="22"/>
        </w:rPr>
        <w:t>/J (1.20 lb/</w:t>
      </w:r>
      <w:proofErr w:type="spellStart"/>
      <w:r w:rsidRPr="00BB64FF">
        <w:rPr>
          <w:szCs w:val="22"/>
        </w:rPr>
        <w:t>MMBtu</w:t>
      </w:r>
      <w:proofErr w:type="spellEnd"/>
      <w:r w:rsidRPr="00BB64FF">
        <w:rPr>
          <w:szCs w:val="22"/>
        </w:rPr>
        <w:t>) heat input and 10 percent of the potential combustion concentration (90 percent reduction);</w:t>
      </w:r>
    </w:p>
    <w:p w:rsidR="00BB64FF" w:rsidRPr="00BB64FF" w:rsidRDefault="00BB64FF" w:rsidP="00BB64FF">
      <w:pPr>
        <w:spacing w:after="40"/>
        <w:ind w:left="20"/>
        <w:rPr>
          <w:szCs w:val="22"/>
        </w:rPr>
      </w:pPr>
      <w:r w:rsidRPr="00BB64FF">
        <w:rPr>
          <w:szCs w:val="22"/>
        </w:rPr>
        <w:t xml:space="preserve">(2) 30 percent of the potential combustion concentration (70 percent reduction), when emissions are less than 260 </w:t>
      </w:r>
      <w:proofErr w:type="spellStart"/>
      <w:r w:rsidRPr="00BB64FF">
        <w:rPr>
          <w:szCs w:val="22"/>
        </w:rPr>
        <w:t>ng</w:t>
      </w:r>
      <w:proofErr w:type="spellEnd"/>
      <w:r w:rsidRPr="00BB64FF">
        <w:rPr>
          <w:szCs w:val="22"/>
        </w:rPr>
        <w:t>/J (0.60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 xml:space="preserve">(3) 180 </w:t>
      </w:r>
      <w:proofErr w:type="spellStart"/>
      <w:r w:rsidRPr="00BB64FF">
        <w:rPr>
          <w:szCs w:val="22"/>
        </w:rPr>
        <w:t>ng</w:t>
      </w:r>
      <w:proofErr w:type="spellEnd"/>
      <w:r w:rsidRPr="00BB64FF">
        <w:rPr>
          <w:szCs w:val="22"/>
        </w:rPr>
        <w:t>/J (1.4 lb/</w:t>
      </w:r>
      <w:proofErr w:type="spellStart"/>
      <w:r w:rsidRPr="00BB64FF">
        <w:rPr>
          <w:szCs w:val="22"/>
        </w:rPr>
        <w:t>MWh</w:t>
      </w:r>
      <w:proofErr w:type="spellEnd"/>
      <w:r w:rsidRPr="00BB64FF">
        <w:rPr>
          <w:szCs w:val="22"/>
        </w:rPr>
        <w:t>) gross energy output; or</w:t>
      </w:r>
    </w:p>
    <w:p w:rsidR="00BB64FF" w:rsidRPr="00BB64FF" w:rsidRDefault="00BB64FF" w:rsidP="00BB64FF">
      <w:pPr>
        <w:spacing w:after="40"/>
        <w:ind w:left="20"/>
        <w:rPr>
          <w:szCs w:val="22"/>
        </w:rPr>
      </w:pPr>
      <w:r w:rsidRPr="00BB64FF">
        <w:rPr>
          <w:szCs w:val="22"/>
        </w:rPr>
        <w:t xml:space="preserve">(4) 65 </w:t>
      </w:r>
      <w:proofErr w:type="spellStart"/>
      <w:r w:rsidRPr="00BB64FF">
        <w:rPr>
          <w:szCs w:val="22"/>
        </w:rPr>
        <w:t>ng</w:t>
      </w:r>
      <w:proofErr w:type="spellEnd"/>
      <w:r w:rsidRPr="00BB64FF">
        <w:rPr>
          <w:szCs w:val="22"/>
        </w:rPr>
        <w:t>/J (0.15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(b) On and after the date on which the initial performance test is completed or required to be completed under § 60.8, whichever date comes first, no owner or operator subject to the provisions of this subpart shall cause to be discharged into the atmosphere from any affected facility which combusts liquid or gaseous fuels (except for liquid or gaseous fuels derived from solid fuels and as provided under paragraphs (e) or (h) of this section) and for which construction, reconstruction, or modification commenced before or on February 28, 2005, any gases that contain SO</w:t>
      </w:r>
      <w:r w:rsidRPr="00F4004E">
        <w:rPr>
          <w:szCs w:val="22"/>
          <w:vertAlign w:val="subscript"/>
        </w:rPr>
        <w:t>2</w:t>
      </w:r>
      <w:r w:rsidRPr="00BB64FF">
        <w:rPr>
          <w:szCs w:val="22"/>
        </w:rPr>
        <w:t xml:space="preserve"> in excess of:</w:t>
      </w:r>
    </w:p>
    <w:p w:rsidR="00BB64FF" w:rsidRPr="00BB64FF" w:rsidRDefault="00BB64FF" w:rsidP="00BB64FF">
      <w:pPr>
        <w:spacing w:after="40"/>
        <w:ind w:left="20"/>
        <w:rPr>
          <w:szCs w:val="22"/>
        </w:rPr>
      </w:pPr>
      <w:r w:rsidRPr="00BB64FF">
        <w:rPr>
          <w:szCs w:val="22"/>
        </w:rPr>
        <w:t xml:space="preserve">(1) 340 </w:t>
      </w:r>
      <w:proofErr w:type="spellStart"/>
      <w:r w:rsidRPr="00BB64FF">
        <w:rPr>
          <w:szCs w:val="22"/>
        </w:rPr>
        <w:t>ng</w:t>
      </w:r>
      <w:proofErr w:type="spellEnd"/>
      <w:r w:rsidRPr="00BB64FF">
        <w:rPr>
          <w:szCs w:val="22"/>
        </w:rPr>
        <w:t>/J (0.80 lb/</w:t>
      </w:r>
      <w:proofErr w:type="spellStart"/>
      <w:r w:rsidRPr="00BB64FF">
        <w:rPr>
          <w:szCs w:val="22"/>
        </w:rPr>
        <w:t>MMBtu</w:t>
      </w:r>
      <w:proofErr w:type="spellEnd"/>
      <w:r w:rsidRPr="00BB64FF">
        <w:rPr>
          <w:szCs w:val="22"/>
        </w:rPr>
        <w:t>) heat input and 10 percent of the potential combustion concentration (90 percent reduction); or</w:t>
      </w:r>
    </w:p>
    <w:p w:rsidR="00BB64FF" w:rsidRPr="00BB64FF" w:rsidRDefault="00BB64FF" w:rsidP="00BB64FF">
      <w:pPr>
        <w:spacing w:after="40"/>
        <w:ind w:left="20"/>
        <w:rPr>
          <w:szCs w:val="22"/>
        </w:rPr>
      </w:pPr>
      <w:r w:rsidRPr="00BB64FF">
        <w:rPr>
          <w:szCs w:val="22"/>
        </w:rPr>
        <w:t xml:space="preserve">(2) 100 percent of the potential combustion concentration (zero percent reduction) when emissions are </w:t>
      </w:r>
      <w:proofErr w:type="gramStart"/>
      <w:r w:rsidRPr="00BB64FF">
        <w:rPr>
          <w:szCs w:val="22"/>
        </w:rPr>
        <w:t xml:space="preserve">less than 86 </w:t>
      </w:r>
      <w:proofErr w:type="spellStart"/>
      <w:r w:rsidRPr="00BB64FF">
        <w:rPr>
          <w:szCs w:val="22"/>
        </w:rPr>
        <w:t>ng</w:t>
      </w:r>
      <w:proofErr w:type="spellEnd"/>
      <w:r w:rsidRPr="00BB64FF">
        <w:rPr>
          <w:szCs w:val="22"/>
        </w:rPr>
        <w:t>/J</w:t>
      </w:r>
      <w:proofErr w:type="gramEnd"/>
      <w:r w:rsidRPr="00BB64FF">
        <w:rPr>
          <w:szCs w:val="22"/>
        </w:rPr>
        <w:t xml:space="preserve"> (0.20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(c) On and after the date on which the initial performance test is completed or required to be completed under § 60.8, whichever date comes first, no owner or operator subject to the provisions of this subpart shall cause to be discharged into the atmosphere from any affected facility which combusts solid solvent refined coal (SRC-I) any gases that contain SO</w:t>
      </w:r>
      <w:r w:rsidRPr="00F4004E">
        <w:rPr>
          <w:szCs w:val="22"/>
          <w:vertAlign w:val="subscript"/>
        </w:rPr>
        <w:t>2</w:t>
      </w:r>
      <w:r w:rsidRPr="00BB64FF">
        <w:rPr>
          <w:szCs w:val="22"/>
        </w:rPr>
        <w:t xml:space="preserve"> in excess of 520 </w:t>
      </w:r>
      <w:proofErr w:type="spellStart"/>
      <w:r w:rsidRPr="00BB64FF">
        <w:rPr>
          <w:szCs w:val="22"/>
        </w:rPr>
        <w:t>ng</w:t>
      </w:r>
      <w:proofErr w:type="spellEnd"/>
      <w:r w:rsidRPr="00BB64FF">
        <w:rPr>
          <w:szCs w:val="22"/>
        </w:rPr>
        <w:t>/J (1.20 lb/</w:t>
      </w:r>
      <w:proofErr w:type="spellStart"/>
      <w:r w:rsidRPr="00BB64FF">
        <w:rPr>
          <w:szCs w:val="22"/>
        </w:rPr>
        <w:t>MMBtu</w:t>
      </w:r>
      <w:proofErr w:type="spellEnd"/>
      <w:r w:rsidRPr="00BB64FF">
        <w:rPr>
          <w:szCs w:val="22"/>
        </w:rPr>
        <w:t>) heat input and 15 percent of the potential combustion concentration (85 percent reduction) except as provided under paragraph (f) of this section; compliance with the emission limitation is determined on a 30-day rolling average basis and compliance with the percent reduction requirement is determined on a 24-hour basis.</w:t>
      </w:r>
    </w:p>
    <w:p w:rsidR="00BB64FF" w:rsidRPr="00BB64FF" w:rsidRDefault="00BB64FF" w:rsidP="00BB64FF">
      <w:pPr>
        <w:spacing w:after="40"/>
        <w:ind w:left="20"/>
        <w:rPr>
          <w:szCs w:val="22"/>
        </w:rPr>
      </w:pPr>
      <w:r w:rsidRPr="00BB64FF">
        <w:rPr>
          <w:szCs w:val="22"/>
        </w:rPr>
        <w:t xml:space="preserve">(d) Sulfur dioxide emissions are limited to 520 </w:t>
      </w:r>
      <w:proofErr w:type="spellStart"/>
      <w:r w:rsidRPr="00BB64FF">
        <w:rPr>
          <w:szCs w:val="22"/>
        </w:rPr>
        <w:t>ng</w:t>
      </w:r>
      <w:proofErr w:type="spellEnd"/>
      <w:r w:rsidRPr="00BB64FF">
        <w:rPr>
          <w:szCs w:val="22"/>
        </w:rPr>
        <w:t>/J (1.20 lb/</w:t>
      </w:r>
      <w:proofErr w:type="spellStart"/>
      <w:r w:rsidRPr="00BB64FF">
        <w:rPr>
          <w:szCs w:val="22"/>
        </w:rPr>
        <w:t>MMBtu</w:t>
      </w:r>
      <w:proofErr w:type="spellEnd"/>
      <w:r w:rsidRPr="00BB64FF">
        <w:rPr>
          <w:szCs w:val="22"/>
        </w:rPr>
        <w:t>) heat input from any affected facility which:</w:t>
      </w:r>
    </w:p>
    <w:p w:rsidR="00BB64FF" w:rsidRPr="00BB64FF" w:rsidRDefault="00BB64FF" w:rsidP="00BB64FF">
      <w:pPr>
        <w:spacing w:after="40"/>
        <w:ind w:left="20"/>
        <w:rPr>
          <w:szCs w:val="22"/>
        </w:rPr>
      </w:pPr>
      <w:r w:rsidRPr="00BB64FF">
        <w:rPr>
          <w:szCs w:val="22"/>
        </w:rPr>
        <w:t>(1) Combusts 100 percent anthracite;</w:t>
      </w:r>
    </w:p>
    <w:p w:rsidR="00BB64FF" w:rsidRPr="00BB64FF" w:rsidRDefault="00BB64FF" w:rsidP="00BB64FF">
      <w:pPr>
        <w:spacing w:after="40"/>
        <w:ind w:left="20"/>
        <w:rPr>
          <w:szCs w:val="22"/>
        </w:rPr>
      </w:pPr>
      <w:r w:rsidRPr="00BB64FF">
        <w:rPr>
          <w:szCs w:val="22"/>
        </w:rPr>
        <w:t>(2) Is classified as a resource recovery unit; or</w:t>
      </w:r>
    </w:p>
    <w:p w:rsidR="00BB64FF" w:rsidRPr="00BB64FF" w:rsidRDefault="00BB64FF" w:rsidP="00BB64FF">
      <w:pPr>
        <w:spacing w:after="40"/>
        <w:ind w:left="20"/>
        <w:rPr>
          <w:szCs w:val="22"/>
        </w:rPr>
      </w:pPr>
      <w:r w:rsidRPr="00BB64FF">
        <w:rPr>
          <w:szCs w:val="22"/>
        </w:rPr>
        <w:t xml:space="preserve">(3) Is located in a </w:t>
      </w:r>
      <w:proofErr w:type="spellStart"/>
      <w:r w:rsidRPr="00BB64FF">
        <w:rPr>
          <w:szCs w:val="22"/>
        </w:rPr>
        <w:t>noncontinental</w:t>
      </w:r>
      <w:proofErr w:type="spellEnd"/>
      <w:r w:rsidRPr="00BB64FF">
        <w:rPr>
          <w:szCs w:val="22"/>
        </w:rPr>
        <w:t xml:space="preserve"> area and combusts solid fuel or solid-derived fuel.</w:t>
      </w:r>
    </w:p>
    <w:p w:rsidR="00BB64FF" w:rsidRPr="00BB64FF" w:rsidRDefault="00BB64FF" w:rsidP="00BB64FF">
      <w:pPr>
        <w:spacing w:after="40"/>
        <w:ind w:left="20"/>
        <w:rPr>
          <w:szCs w:val="22"/>
        </w:rPr>
      </w:pPr>
      <w:r w:rsidRPr="00BB64FF">
        <w:rPr>
          <w:szCs w:val="22"/>
        </w:rPr>
        <w:t xml:space="preserve">(e) Sulfur dioxide emissions are limited to 340 </w:t>
      </w:r>
      <w:proofErr w:type="spellStart"/>
      <w:r w:rsidRPr="00BB64FF">
        <w:rPr>
          <w:szCs w:val="22"/>
        </w:rPr>
        <w:t>ng</w:t>
      </w:r>
      <w:proofErr w:type="spellEnd"/>
      <w:r w:rsidRPr="00BB64FF">
        <w:rPr>
          <w:szCs w:val="22"/>
        </w:rPr>
        <w:t>/J (0.80 lb/</w:t>
      </w:r>
      <w:proofErr w:type="spellStart"/>
      <w:r w:rsidRPr="00BB64FF">
        <w:rPr>
          <w:szCs w:val="22"/>
        </w:rPr>
        <w:t>MMBtu</w:t>
      </w:r>
      <w:proofErr w:type="spellEnd"/>
      <w:r w:rsidRPr="00BB64FF">
        <w:rPr>
          <w:szCs w:val="22"/>
        </w:rPr>
        <w:t xml:space="preserve">) heat input from any affected facility which is located in a </w:t>
      </w:r>
      <w:proofErr w:type="spellStart"/>
      <w:r w:rsidRPr="00BB64FF">
        <w:rPr>
          <w:szCs w:val="22"/>
        </w:rPr>
        <w:t>noncontinental</w:t>
      </w:r>
      <w:proofErr w:type="spellEnd"/>
      <w:r w:rsidRPr="00BB64FF">
        <w:rPr>
          <w:szCs w:val="22"/>
        </w:rPr>
        <w:t xml:space="preserve"> area and combusts liquid or gaseous fuels (excluding solid-derived fuels).</w:t>
      </w:r>
    </w:p>
    <w:p w:rsidR="00BB64FF" w:rsidRPr="00BB64FF" w:rsidRDefault="00BB64FF" w:rsidP="00BB64FF">
      <w:pPr>
        <w:spacing w:after="40"/>
        <w:ind w:left="20"/>
        <w:rPr>
          <w:szCs w:val="22"/>
        </w:rPr>
      </w:pPr>
      <w:r w:rsidRPr="00BB64FF">
        <w:rPr>
          <w:szCs w:val="22"/>
        </w:rPr>
        <w:t>(f) The SO</w:t>
      </w:r>
      <w:r w:rsidRPr="00F4004E">
        <w:rPr>
          <w:szCs w:val="22"/>
          <w:vertAlign w:val="subscript"/>
        </w:rPr>
        <w:t>2</w:t>
      </w:r>
      <w:r w:rsidRPr="00BB64FF">
        <w:rPr>
          <w:szCs w:val="22"/>
        </w:rPr>
        <w:t xml:space="preserve"> standards under this section do not apply to an owner or operator of an affected facility that is operated under an SO</w:t>
      </w:r>
      <w:r w:rsidRPr="00F4004E">
        <w:rPr>
          <w:szCs w:val="22"/>
          <w:vertAlign w:val="subscript"/>
        </w:rPr>
        <w:t>2</w:t>
      </w:r>
      <w:r w:rsidRPr="00BB64FF">
        <w:rPr>
          <w:szCs w:val="22"/>
        </w:rPr>
        <w:t xml:space="preserve"> commercial demonstration permit issued by the Administrator in accordance with the provisions of § 60.47Da.</w:t>
      </w:r>
    </w:p>
    <w:p w:rsidR="00BB64FF" w:rsidRPr="00BB64FF" w:rsidRDefault="00BB64FF" w:rsidP="00BB64FF">
      <w:pPr>
        <w:spacing w:after="40"/>
        <w:ind w:left="20"/>
        <w:rPr>
          <w:szCs w:val="22"/>
        </w:rPr>
      </w:pPr>
      <w:r w:rsidRPr="00BB64FF">
        <w:rPr>
          <w:szCs w:val="22"/>
        </w:rPr>
        <w:t>(g) Compliance with the emission limitation and percent reduction requirements under this section are both determined on a 30-day rolling average basis except as provided under paragraph (c) of this section.</w:t>
      </w:r>
    </w:p>
    <w:p w:rsidR="00BB64FF" w:rsidRPr="00BB64FF" w:rsidRDefault="00BB64FF" w:rsidP="00BB64FF">
      <w:pPr>
        <w:spacing w:after="40"/>
        <w:ind w:left="20"/>
        <w:rPr>
          <w:szCs w:val="22"/>
        </w:rPr>
      </w:pPr>
      <w:r w:rsidRPr="00BB64FF">
        <w:rPr>
          <w:szCs w:val="22"/>
        </w:rPr>
        <w:t>(h) When different fuels are combusted simultaneously, the applicable standard is determined by proration using the following formula:</w:t>
      </w:r>
    </w:p>
    <w:p w:rsidR="00BB64FF" w:rsidRPr="00BB64FF" w:rsidRDefault="00BB64FF" w:rsidP="00BB64FF">
      <w:pPr>
        <w:spacing w:after="40"/>
        <w:ind w:left="20"/>
        <w:rPr>
          <w:szCs w:val="22"/>
        </w:rPr>
      </w:pPr>
      <w:r w:rsidRPr="00BB64FF">
        <w:rPr>
          <w:szCs w:val="22"/>
        </w:rPr>
        <w:t>(1) If emissions of SO</w:t>
      </w:r>
      <w:r w:rsidRPr="00F4004E">
        <w:rPr>
          <w:szCs w:val="22"/>
          <w:vertAlign w:val="subscript"/>
        </w:rPr>
        <w:t>2</w:t>
      </w:r>
      <w:r w:rsidRPr="00BB64FF">
        <w:rPr>
          <w:szCs w:val="22"/>
        </w:rPr>
        <w:t xml:space="preserve"> to the atmosphere are greater than 260 </w:t>
      </w:r>
      <w:proofErr w:type="spellStart"/>
      <w:r w:rsidRPr="00BB64FF">
        <w:rPr>
          <w:szCs w:val="22"/>
        </w:rPr>
        <w:t>ng</w:t>
      </w:r>
      <w:proofErr w:type="spellEnd"/>
      <w:r w:rsidRPr="00BB64FF">
        <w:rPr>
          <w:szCs w:val="22"/>
        </w:rPr>
        <w:t>/J (0.60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(2) If emissions of SO</w:t>
      </w:r>
      <w:r w:rsidRPr="00F4004E">
        <w:rPr>
          <w:szCs w:val="22"/>
          <w:vertAlign w:val="subscript"/>
        </w:rPr>
        <w:t>2</w:t>
      </w:r>
      <w:r w:rsidRPr="00BB64FF">
        <w:rPr>
          <w:szCs w:val="22"/>
        </w:rPr>
        <w:t xml:space="preserve"> to the atmosphere are equal to or </w:t>
      </w:r>
      <w:proofErr w:type="gramStart"/>
      <w:r w:rsidRPr="00BB64FF">
        <w:rPr>
          <w:szCs w:val="22"/>
        </w:rPr>
        <w:t xml:space="preserve">less than 260 </w:t>
      </w:r>
      <w:proofErr w:type="spellStart"/>
      <w:r w:rsidRPr="00BB64FF">
        <w:rPr>
          <w:szCs w:val="22"/>
        </w:rPr>
        <w:t>ng</w:t>
      </w:r>
      <w:proofErr w:type="spellEnd"/>
      <w:r w:rsidRPr="00BB64FF">
        <w:rPr>
          <w:szCs w:val="22"/>
        </w:rPr>
        <w:t>/J</w:t>
      </w:r>
      <w:proofErr w:type="gramEnd"/>
      <w:r w:rsidRPr="00BB64FF">
        <w:rPr>
          <w:szCs w:val="22"/>
        </w:rPr>
        <w:t xml:space="preserve"> (0.60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Where:</w:t>
      </w:r>
    </w:p>
    <w:p w:rsidR="00BB64FF" w:rsidRPr="00BB64FF" w:rsidRDefault="00BB64FF" w:rsidP="00BB64FF">
      <w:pPr>
        <w:spacing w:after="40"/>
        <w:ind w:left="20"/>
        <w:rPr>
          <w:szCs w:val="22"/>
        </w:rPr>
      </w:pPr>
      <w:r w:rsidRPr="00BB64FF">
        <w:rPr>
          <w:szCs w:val="22"/>
        </w:rPr>
        <w:t>Es = Prorated SO</w:t>
      </w:r>
      <w:r w:rsidRPr="00F4004E">
        <w:rPr>
          <w:szCs w:val="22"/>
          <w:vertAlign w:val="subscript"/>
        </w:rPr>
        <w:t>2</w:t>
      </w:r>
      <w:r w:rsidRPr="00BB64FF">
        <w:rPr>
          <w:szCs w:val="22"/>
        </w:rPr>
        <w:t xml:space="preserve"> emission limit (</w:t>
      </w:r>
      <w:proofErr w:type="spellStart"/>
      <w:r w:rsidRPr="00BB64FF">
        <w:rPr>
          <w:szCs w:val="22"/>
        </w:rPr>
        <w:t>ng</w:t>
      </w:r>
      <w:proofErr w:type="spellEnd"/>
      <w:r w:rsidRPr="00BB64FF">
        <w:rPr>
          <w:szCs w:val="22"/>
        </w:rPr>
        <w:t>/J heat input);</w:t>
      </w:r>
    </w:p>
    <w:p w:rsidR="00BB64FF" w:rsidRPr="00BB64FF" w:rsidRDefault="00BB64FF" w:rsidP="00BB64FF">
      <w:pPr>
        <w:spacing w:after="40"/>
        <w:ind w:left="20"/>
        <w:rPr>
          <w:szCs w:val="22"/>
        </w:rPr>
      </w:pPr>
      <w:r w:rsidRPr="00BB64FF">
        <w:rPr>
          <w:szCs w:val="22"/>
        </w:rPr>
        <w:t>%Ps = Percentage of potential SO</w:t>
      </w:r>
      <w:r w:rsidRPr="00F4004E">
        <w:rPr>
          <w:szCs w:val="22"/>
          <w:vertAlign w:val="subscript"/>
        </w:rPr>
        <w:t>2</w:t>
      </w:r>
      <w:r w:rsidRPr="00BB64FF">
        <w:rPr>
          <w:szCs w:val="22"/>
        </w:rPr>
        <w:t xml:space="preserve"> emission allowed;</w:t>
      </w:r>
    </w:p>
    <w:p w:rsidR="00BB64FF" w:rsidRPr="00BB64FF" w:rsidRDefault="00BB64FF" w:rsidP="00BB64FF">
      <w:pPr>
        <w:spacing w:after="40"/>
        <w:ind w:left="20"/>
        <w:rPr>
          <w:szCs w:val="22"/>
        </w:rPr>
      </w:pPr>
      <w:r w:rsidRPr="00BB64FF">
        <w:rPr>
          <w:szCs w:val="22"/>
        </w:rPr>
        <w:t>x = Percentage of total heat input derived from the combustion of liquid or gaseous fuels (excluding solid-derived fuels); and</w:t>
      </w:r>
    </w:p>
    <w:p w:rsidR="00BB64FF" w:rsidRPr="00BB64FF" w:rsidRDefault="00BB64FF" w:rsidP="00BB64FF">
      <w:pPr>
        <w:spacing w:after="40"/>
        <w:ind w:left="20"/>
        <w:rPr>
          <w:szCs w:val="22"/>
        </w:rPr>
      </w:pPr>
      <w:r w:rsidRPr="00BB64FF">
        <w:rPr>
          <w:szCs w:val="22"/>
        </w:rPr>
        <w:t>y = Percentage of total heat input derived from the combustion of solid fuel (including solid-derived fuels).</w:t>
      </w:r>
    </w:p>
    <w:p w:rsidR="00BB64FF" w:rsidRPr="00BB64FF" w:rsidRDefault="00BB64FF" w:rsidP="00BB64FF">
      <w:pPr>
        <w:spacing w:after="40"/>
        <w:ind w:left="20"/>
        <w:rPr>
          <w:szCs w:val="22"/>
        </w:rPr>
      </w:pPr>
      <w:r w:rsidRPr="00BB64FF">
        <w:rPr>
          <w:szCs w:val="22"/>
        </w:rPr>
        <w:lastRenderedPageBreak/>
        <w:t>(</w:t>
      </w:r>
      <w:proofErr w:type="spellStart"/>
      <w:r w:rsidRPr="00BB64FF">
        <w:rPr>
          <w:szCs w:val="22"/>
        </w:rPr>
        <w:t>i</w:t>
      </w:r>
      <w:proofErr w:type="spellEnd"/>
      <w:r w:rsidRPr="00BB64FF">
        <w:rPr>
          <w:szCs w:val="22"/>
        </w:rPr>
        <w:t>) Except as provided in paragraphs (j) and (k) of this section, on and after the date on which the initial performance test is completed or required to be completed under § 60.8, whichever date comes first, no owner or operator of an affected facility for which construction, reconstruction, or modification commenced after February 28, 2005, but before May 4, 2011, shall cause to be discharged into the atmosphere from that affected facility, any gases that contain SO</w:t>
      </w:r>
      <w:r w:rsidRPr="00F4004E">
        <w:rPr>
          <w:szCs w:val="22"/>
          <w:vertAlign w:val="subscript"/>
        </w:rPr>
        <w:t>2</w:t>
      </w:r>
      <w:r w:rsidRPr="00BB64FF">
        <w:rPr>
          <w:szCs w:val="22"/>
        </w:rPr>
        <w:t xml:space="preserve"> in excess of the applicable emissions limit specified in paragraphs (</w:t>
      </w:r>
      <w:proofErr w:type="spellStart"/>
      <w:r w:rsidRPr="00BB64FF">
        <w:rPr>
          <w:szCs w:val="22"/>
        </w:rPr>
        <w:t>i</w:t>
      </w:r>
      <w:proofErr w:type="spellEnd"/>
      <w:r w:rsidRPr="00BB64FF">
        <w:rPr>
          <w:szCs w:val="22"/>
        </w:rPr>
        <w:t>)(1) through (3) of this section.</w:t>
      </w:r>
    </w:p>
    <w:p w:rsidR="00BB64FF" w:rsidRPr="00BB64FF" w:rsidRDefault="00BB64FF" w:rsidP="00BB64FF">
      <w:pPr>
        <w:spacing w:after="40"/>
        <w:ind w:left="20"/>
        <w:rPr>
          <w:szCs w:val="22"/>
        </w:rPr>
      </w:pPr>
      <w:r w:rsidRPr="00BB64FF">
        <w:rPr>
          <w:szCs w:val="22"/>
        </w:rPr>
        <w:t>(1) For an affected facility which commenced construction, any gases that contain SO</w:t>
      </w:r>
      <w:r w:rsidRPr="00F4004E">
        <w:rPr>
          <w:szCs w:val="22"/>
          <w:vertAlign w:val="subscript"/>
        </w:rPr>
        <w:t>2</w:t>
      </w:r>
      <w:r w:rsidRPr="00BB64FF">
        <w:rPr>
          <w:szCs w:val="22"/>
        </w:rPr>
        <w:t xml:space="preserve">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/J (1.4 lb/MWh) gross energy output; or</w:t>
      </w:r>
    </w:p>
    <w:p w:rsidR="00BB64FF" w:rsidRPr="00BB64FF" w:rsidRDefault="00BB64FF" w:rsidP="00BB64FF">
      <w:pPr>
        <w:spacing w:after="40"/>
        <w:ind w:left="20"/>
        <w:rPr>
          <w:szCs w:val="22"/>
        </w:rPr>
      </w:pPr>
      <w:r w:rsidRPr="00BB64FF">
        <w:rPr>
          <w:szCs w:val="22"/>
        </w:rPr>
        <w:t>(ii) 5 percent of the potential combustion concentration (95 percent reduction).</w:t>
      </w:r>
    </w:p>
    <w:p w:rsidR="00BB64FF" w:rsidRPr="00BB64FF" w:rsidRDefault="00BB64FF" w:rsidP="00BB64FF">
      <w:pPr>
        <w:spacing w:after="40"/>
        <w:ind w:left="20"/>
        <w:rPr>
          <w:szCs w:val="22"/>
        </w:rPr>
      </w:pPr>
      <w:r w:rsidRPr="00BB64FF">
        <w:rPr>
          <w:szCs w:val="22"/>
        </w:rPr>
        <w:t>(2) For an affected facility which commenced reconstruction, any gases that contain SO</w:t>
      </w:r>
      <w:r w:rsidRPr="00F4004E">
        <w:rPr>
          <w:szCs w:val="22"/>
          <w:vertAlign w:val="subscript"/>
        </w:rPr>
        <w:t>2</w:t>
      </w:r>
      <w:r w:rsidRPr="00BB64FF">
        <w:rPr>
          <w:szCs w:val="22"/>
        </w:rPr>
        <w:t xml:space="preserve">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 xml:space="preserve">/J </w:t>
      </w:r>
      <w:proofErr w:type="gramStart"/>
      <w:r w:rsidRPr="00BB64FF">
        <w:rPr>
          <w:szCs w:val="22"/>
        </w:rPr>
        <w:t>(1.4 lb/MWh)</w:t>
      </w:r>
      <w:proofErr w:type="gramEnd"/>
      <w:r w:rsidRPr="00BB64FF">
        <w:rPr>
          <w:szCs w:val="22"/>
        </w:rPr>
        <w:t xml:space="preserve"> gross energy output;</w:t>
      </w:r>
    </w:p>
    <w:p w:rsidR="00BB64FF" w:rsidRPr="00BB64FF" w:rsidRDefault="00BB64FF" w:rsidP="00BB64FF">
      <w:pPr>
        <w:spacing w:after="40"/>
        <w:ind w:left="20"/>
        <w:rPr>
          <w:szCs w:val="22"/>
        </w:rPr>
      </w:pPr>
      <w:r w:rsidRPr="00BB64FF">
        <w:rPr>
          <w:szCs w:val="22"/>
        </w:rPr>
        <w:t xml:space="preserve">(ii) 65 </w:t>
      </w:r>
      <w:proofErr w:type="spellStart"/>
      <w:r w:rsidRPr="00BB64FF">
        <w:rPr>
          <w:szCs w:val="22"/>
        </w:rPr>
        <w:t>ng</w:t>
      </w:r>
      <w:proofErr w:type="spellEnd"/>
      <w:r w:rsidRPr="00BB64FF">
        <w:rPr>
          <w:szCs w:val="22"/>
        </w:rPr>
        <w:t>/J (0.15 lb/</w:t>
      </w:r>
      <w:proofErr w:type="spellStart"/>
      <w:r w:rsidRPr="00BB64FF">
        <w:rPr>
          <w:szCs w:val="22"/>
        </w:rPr>
        <w:t>MMBtu</w:t>
      </w:r>
      <w:proofErr w:type="spellEnd"/>
      <w:r w:rsidRPr="00BB64FF">
        <w:rPr>
          <w:szCs w:val="22"/>
        </w:rPr>
        <w:t>) heat input; or</w:t>
      </w:r>
    </w:p>
    <w:p w:rsidR="00BB64FF" w:rsidRPr="00BB64FF" w:rsidRDefault="00BB64FF" w:rsidP="00BB64FF">
      <w:pPr>
        <w:spacing w:after="40"/>
        <w:ind w:left="20"/>
        <w:rPr>
          <w:szCs w:val="22"/>
        </w:rPr>
      </w:pPr>
      <w:r w:rsidRPr="00BB64FF">
        <w:rPr>
          <w:szCs w:val="22"/>
        </w:rPr>
        <w:t>(iii) 5 percent of the potential combustion concentration (95 percent reduction).</w:t>
      </w:r>
    </w:p>
    <w:p w:rsidR="00BB64FF" w:rsidRPr="00BB64FF" w:rsidRDefault="00BB64FF" w:rsidP="00BB64FF">
      <w:pPr>
        <w:spacing w:after="40"/>
        <w:ind w:left="20"/>
        <w:rPr>
          <w:szCs w:val="22"/>
        </w:rPr>
      </w:pPr>
      <w:r w:rsidRPr="00BB64FF">
        <w:rPr>
          <w:szCs w:val="22"/>
        </w:rPr>
        <w:t>(3) For an affected facility which commenced modification, any gases that contain SO</w:t>
      </w:r>
      <w:r w:rsidRPr="00F4004E">
        <w:rPr>
          <w:szCs w:val="22"/>
          <w:vertAlign w:val="subscript"/>
        </w:rPr>
        <w:t xml:space="preserve">2 </w:t>
      </w:r>
      <w:r w:rsidRPr="00BB64FF">
        <w:rPr>
          <w:szCs w:val="22"/>
        </w:rPr>
        <w:t>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 xml:space="preserve">/J </w:t>
      </w:r>
      <w:proofErr w:type="gramStart"/>
      <w:r w:rsidRPr="00BB64FF">
        <w:rPr>
          <w:szCs w:val="22"/>
        </w:rPr>
        <w:t>(1.4 lb/MWh)</w:t>
      </w:r>
      <w:proofErr w:type="gramEnd"/>
      <w:r w:rsidRPr="00BB64FF">
        <w:rPr>
          <w:szCs w:val="22"/>
        </w:rPr>
        <w:t xml:space="preserve"> gross energy output;</w:t>
      </w:r>
    </w:p>
    <w:p w:rsidR="00BB64FF" w:rsidRPr="00BB64FF" w:rsidRDefault="00BB64FF" w:rsidP="00BB64FF">
      <w:pPr>
        <w:spacing w:after="40"/>
        <w:ind w:left="20"/>
        <w:rPr>
          <w:szCs w:val="22"/>
        </w:rPr>
      </w:pPr>
      <w:r w:rsidRPr="00BB64FF">
        <w:rPr>
          <w:szCs w:val="22"/>
        </w:rPr>
        <w:t xml:space="preserve">(ii) 65 </w:t>
      </w:r>
      <w:proofErr w:type="spellStart"/>
      <w:r w:rsidRPr="00BB64FF">
        <w:rPr>
          <w:szCs w:val="22"/>
        </w:rPr>
        <w:t>ng</w:t>
      </w:r>
      <w:proofErr w:type="spellEnd"/>
      <w:r w:rsidRPr="00BB64FF">
        <w:rPr>
          <w:szCs w:val="22"/>
        </w:rPr>
        <w:t>/J (0.15 lb/</w:t>
      </w:r>
      <w:proofErr w:type="spellStart"/>
      <w:r w:rsidRPr="00BB64FF">
        <w:rPr>
          <w:szCs w:val="22"/>
        </w:rPr>
        <w:t>MMBtu</w:t>
      </w:r>
      <w:proofErr w:type="spellEnd"/>
      <w:r w:rsidRPr="00BB64FF">
        <w:rPr>
          <w:szCs w:val="22"/>
        </w:rPr>
        <w:t>) heat input; or</w:t>
      </w:r>
    </w:p>
    <w:p w:rsidR="00BB64FF" w:rsidRPr="00BB64FF" w:rsidRDefault="00BB64FF" w:rsidP="00BB64FF">
      <w:pPr>
        <w:spacing w:after="40"/>
        <w:ind w:left="20"/>
        <w:rPr>
          <w:szCs w:val="22"/>
        </w:rPr>
      </w:pPr>
      <w:r w:rsidRPr="00BB64FF">
        <w:rPr>
          <w:szCs w:val="22"/>
        </w:rPr>
        <w:t>(iii) 10 percent of the potential combustion concentration (90 percent reduction).</w:t>
      </w:r>
    </w:p>
    <w:p w:rsidR="00BB64FF" w:rsidRPr="00BB64FF" w:rsidRDefault="00BB64FF" w:rsidP="00BB64FF">
      <w:pPr>
        <w:spacing w:after="40"/>
        <w:ind w:left="20"/>
        <w:rPr>
          <w:szCs w:val="22"/>
        </w:rPr>
      </w:pPr>
      <w:r w:rsidRPr="00BB64FF">
        <w:rPr>
          <w:szCs w:val="22"/>
        </w:rPr>
        <w:t>(j) On and after the date on which the initial performance test is completed or required to be completed under § 60.8, whichever date comes first, no owner or operator of an affected facility that commenced construction, reconstruction, or modification commenced after February 28, 2005, and that burns 75 percent or more (by heat input) coal refuse on a 12-month rolling average basis, shall caused to be discharged into the atmosphere from that affected facility any gases that contain SO</w:t>
      </w:r>
      <w:r w:rsidRPr="00F4004E">
        <w:rPr>
          <w:szCs w:val="22"/>
          <w:vertAlign w:val="subscript"/>
        </w:rPr>
        <w:t>2</w:t>
      </w:r>
      <w:r w:rsidRPr="00BB64FF">
        <w:rPr>
          <w:szCs w:val="22"/>
        </w:rPr>
        <w:t xml:space="preserve"> in excess of the applicable emission limitation specified in paragraphs (j)(1) through (3) of this section.</w:t>
      </w:r>
    </w:p>
    <w:p w:rsidR="00BB64FF" w:rsidRPr="00BB64FF" w:rsidRDefault="00BB64FF" w:rsidP="00BB64FF">
      <w:pPr>
        <w:spacing w:after="40"/>
        <w:ind w:left="20"/>
        <w:rPr>
          <w:szCs w:val="22"/>
        </w:rPr>
      </w:pPr>
      <w:r w:rsidRPr="00BB64FF">
        <w:rPr>
          <w:szCs w:val="22"/>
        </w:rPr>
        <w:t>(1) For an affected facility for which construction commenced after February 28, 2005, any gases that contain SO</w:t>
      </w:r>
      <w:r w:rsidRPr="00F4004E">
        <w:rPr>
          <w:szCs w:val="22"/>
          <w:vertAlign w:val="subscript"/>
        </w:rPr>
        <w:t>2</w:t>
      </w:r>
      <w:r w:rsidRPr="00BB64FF">
        <w:rPr>
          <w:szCs w:val="22"/>
        </w:rPr>
        <w:t xml:space="preserve">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/J (1.4 lb/MWh) gross energy output on a 30-day rolling average basis; or</w:t>
      </w:r>
    </w:p>
    <w:p w:rsidR="00BB64FF" w:rsidRPr="00BB64FF" w:rsidRDefault="00BB64FF" w:rsidP="00BB64FF">
      <w:pPr>
        <w:spacing w:after="40"/>
        <w:ind w:left="20"/>
        <w:rPr>
          <w:szCs w:val="22"/>
        </w:rPr>
      </w:pPr>
      <w:r w:rsidRPr="00BB64FF">
        <w:rPr>
          <w:szCs w:val="22"/>
        </w:rPr>
        <w:t>(ii) 6 percent of the potential combustion concentration (94 percent reduction) on a 30-day rolling average basis.</w:t>
      </w:r>
    </w:p>
    <w:p w:rsidR="00BB64FF" w:rsidRPr="00BB64FF" w:rsidRDefault="00BB64FF" w:rsidP="00BB64FF">
      <w:pPr>
        <w:spacing w:after="40"/>
        <w:ind w:left="20"/>
        <w:rPr>
          <w:szCs w:val="22"/>
        </w:rPr>
      </w:pPr>
      <w:r w:rsidRPr="00BB64FF">
        <w:rPr>
          <w:szCs w:val="22"/>
        </w:rPr>
        <w:t>(2) For an affected facility for which reconstruction commenced after February 28, 2005, any gases that contain SO</w:t>
      </w:r>
      <w:r w:rsidRPr="00F4004E">
        <w:rPr>
          <w:szCs w:val="22"/>
          <w:vertAlign w:val="subscript"/>
        </w:rPr>
        <w:t>2</w:t>
      </w:r>
      <w:r w:rsidRPr="00BB64FF">
        <w:rPr>
          <w:szCs w:val="22"/>
        </w:rPr>
        <w:t xml:space="preserve">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 xml:space="preserve">/J </w:t>
      </w:r>
      <w:proofErr w:type="gramStart"/>
      <w:r w:rsidRPr="00BB64FF">
        <w:rPr>
          <w:szCs w:val="22"/>
        </w:rPr>
        <w:t>(1.4 lb/MWh)</w:t>
      </w:r>
      <w:proofErr w:type="gramEnd"/>
      <w:r w:rsidRPr="00BB64FF">
        <w:rPr>
          <w:szCs w:val="22"/>
        </w:rPr>
        <w:t xml:space="preserve"> gross energy output on a 30-day rolling average basis;</w:t>
      </w:r>
    </w:p>
    <w:p w:rsidR="00BB64FF" w:rsidRPr="00BB64FF" w:rsidRDefault="00BB64FF" w:rsidP="00BB64FF">
      <w:pPr>
        <w:spacing w:after="40"/>
        <w:ind w:left="20"/>
        <w:rPr>
          <w:szCs w:val="22"/>
        </w:rPr>
      </w:pPr>
      <w:r w:rsidRPr="00BB64FF">
        <w:rPr>
          <w:szCs w:val="22"/>
        </w:rPr>
        <w:t xml:space="preserve">(ii) 65 </w:t>
      </w:r>
      <w:proofErr w:type="spellStart"/>
      <w:r w:rsidRPr="00BB64FF">
        <w:rPr>
          <w:szCs w:val="22"/>
        </w:rPr>
        <w:t>ng</w:t>
      </w:r>
      <w:proofErr w:type="spellEnd"/>
      <w:r w:rsidRPr="00BB64FF">
        <w:rPr>
          <w:szCs w:val="22"/>
        </w:rPr>
        <w:t>/J (0.15 lb/</w:t>
      </w:r>
      <w:proofErr w:type="spellStart"/>
      <w:r w:rsidRPr="00BB64FF">
        <w:rPr>
          <w:szCs w:val="22"/>
        </w:rPr>
        <w:t>MMBtu</w:t>
      </w:r>
      <w:proofErr w:type="spellEnd"/>
      <w:r w:rsidRPr="00BB64FF">
        <w:rPr>
          <w:szCs w:val="22"/>
        </w:rPr>
        <w:t>) heat input on a 30-day rolling average basis; or</w:t>
      </w:r>
    </w:p>
    <w:p w:rsidR="00BB64FF" w:rsidRPr="00BB64FF" w:rsidRDefault="00BB64FF" w:rsidP="00BB64FF">
      <w:pPr>
        <w:spacing w:after="40"/>
        <w:ind w:left="20"/>
        <w:rPr>
          <w:szCs w:val="22"/>
        </w:rPr>
      </w:pPr>
      <w:r w:rsidRPr="00BB64FF">
        <w:rPr>
          <w:szCs w:val="22"/>
        </w:rPr>
        <w:t>(iii) 6 percent of the potential combustion concentration (94 percent reduction) on a 30-day rolling average basis.</w:t>
      </w:r>
    </w:p>
    <w:p w:rsidR="00BB64FF" w:rsidRPr="00BB64FF" w:rsidRDefault="00BB64FF" w:rsidP="00BB64FF">
      <w:pPr>
        <w:spacing w:after="40"/>
        <w:ind w:left="20"/>
        <w:rPr>
          <w:szCs w:val="22"/>
        </w:rPr>
      </w:pPr>
      <w:r w:rsidRPr="00BB64FF">
        <w:rPr>
          <w:szCs w:val="22"/>
        </w:rPr>
        <w:t>(3) For an affected facility for which modification commenced after February 28, 2005, any gases that contain SO</w:t>
      </w:r>
      <w:r w:rsidRPr="00F4004E">
        <w:rPr>
          <w:szCs w:val="22"/>
          <w:vertAlign w:val="subscript"/>
        </w:rPr>
        <w:t>2</w:t>
      </w:r>
      <w:r w:rsidRPr="00BB64FF">
        <w:rPr>
          <w:szCs w:val="22"/>
        </w:rPr>
        <w:t xml:space="preserve">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 xml:space="preserve">/J </w:t>
      </w:r>
      <w:proofErr w:type="gramStart"/>
      <w:r w:rsidRPr="00BB64FF">
        <w:rPr>
          <w:szCs w:val="22"/>
        </w:rPr>
        <w:t>(1.4 lb/MWh)</w:t>
      </w:r>
      <w:proofErr w:type="gramEnd"/>
      <w:r w:rsidRPr="00BB64FF">
        <w:rPr>
          <w:szCs w:val="22"/>
        </w:rPr>
        <w:t xml:space="preserve"> gross energy output on a 30-day rolling average basis;</w:t>
      </w:r>
    </w:p>
    <w:p w:rsidR="00BB64FF" w:rsidRPr="00BB64FF" w:rsidRDefault="00BB64FF" w:rsidP="00BB64FF">
      <w:pPr>
        <w:spacing w:after="40"/>
        <w:ind w:left="20"/>
        <w:rPr>
          <w:szCs w:val="22"/>
        </w:rPr>
      </w:pPr>
      <w:r w:rsidRPr="00BB64FF">
        <w:rPr>
          <w:szCs w:val="22"/>
        </w:rPr>
        <w:t xml:space="preserve">(ii) 65 </w:t>
      </w:r>
      <w:proofErr w:type="spellStart"/>
      <w:r w:rsidRPr="00BB64FF">
        <w:rPr>
          <w:szCs w:val="22"/>
        </w:rPr>
        <w:t>ng</w:t>
      </w:r>
      <w:proofErr w:type="spellEnd"/>
      <w:r w:rsidRPr="00BB64FF">
        <w:rPr>
          <w:szCs w:val="22"/>
        </w:rPr>
        <w:t>/J (0.15 lb/</w:t>
      </w:r>
      <w:proofErr w:type="spellStart"/>
      <w:r w:rsidRPr="00BB64FF">
        <w:rPr>
          <w:szCs w:val="22"/>
        </w:rPr>
        <w:t>MMBtu</w:t>
      </w:r>
      <w:proofErr w:type="spellEnd"/>
      <w:r w:rsidRPr="00BB64FF">
        <w:rPr>
          <w:szCs w:val="22"/>
        </w:rPr>
        <w:t>) heat input on a 30-day rolling average basis; or</w:t>
      </w:r>
    </w:p>
    <w:p w:rsidR="00BB64FF" w:rsidRPr="00BB64FF" w:rsidRDefault="00BB64FF" w:rsidP="00BB64FF">
      <w:pPr>
        <w:spacing w:after="40"/>
        <w:ind w:left="20"/>
        <w:rPr>
          <w:szCs w:val="22"/>
        </w:rPr>
      </w:pPr>
      <w:r w:rsidRPr="00BB64FF">
        <w:rPr>
          <w:szCs w:val="22"/>
        </w:rPr>
        <w:t>(iii) 10 percent of the potential combustion concentration (90 percent reduction) on a 30-day rolling average basis.</w:t>
      </w:r>
    </w:p>
    <w:p w:rsidR="00BB64FF" w:rsidRPr="00BB64FF" w:rsidRDefault="00BB64FF" w:rsidP="00BB64FF">
      <w:pPr>
        <w:spacing w:after="40"/>
        <w:ind w:left="20"/>
        <w:rPr>
          <w:szCs w:val="22"/>
        </w:rPr>
      </w:pPr>
      <w:r w:rsidRPr="00BB64FF">
        <w:rPr>
          <w:szCs w:val="22"/>
        </w:rPr>
        <w:t xml:space="preserve">(k) On and after the date on which the initial performance test is completed or required to be completed under § 60.8, whichever date comes first, no owner or operator of an affected facility located in a </w:t>
      </w:r>
      <w:proofErr w:type="spellStart"/>
      <w:r w:rsidRPr="00BB64FF">
        <w:rPr>
          <w:szCs w:val="22"/>
        </w:rPr>
        <w:t>noncontinental</w:t>
      </w:r>
      <w:proofErr w:type="spellEnd"/>
      <w:r w:rsidRPr="00BB64FF">
        <w:rPr>
          <w:szCs w:val="22"/>
        </w:rPr>
        <w:t xml:space="preserve"> area for which construction, reconstruction, or modification commenced after February 28, 2005, but before May 4, 2011, shall cause to be discharged into the atmosphere from that affected facility any gases that contain SO</w:t>
      </w:r>
      <w:r w:rsidRPr="00F4004E">
        <w:rPr>
          <w:szCs w:val="22"/>
          <w:vertAlign w:val="subscript"/>
        </w:rPr>
        <w:t>2</w:t>
      </w:r>
      <w:r w:rsidRPr="00BB64FF">
        <w:rPr>
          <w:szCs w:val="22"/>
        </w:rPr>
        <w:t xml:space="preserve"> in excess of the applicable emissions limit specified in paragraphs (k)(1) and (2) of this section.</w:t>
      </w:r>
    </w:p>
    <w:p w:rsidR="00BB64FF" w:rsidRPr="00BB64FF" w:rsidRDefault="00BB64FF" w:rsidP="00BB64FF">
      <w:pPr>
        <w:spacing w:after="40"/>
        <w:ind w:left="20"/>
        <w:rPr>
          <w:szCs w:val="22"/>
        </w:rPr>
      </w:pPr>
      <w:r w:rsidRPr="00BB64FF">
        <w:rPr>
          <w:szCs w:val="22"/>
        </w:rPr>
        <w:lastRenderedPageBreak/>
        <w:t>(1) For an affected facility that burns solid or solid-derived fuel, the owner or operator shall not cause to be discharged into the atmosphere any gases that contain SO</w:t>
      </w:r>
      <w:r w:rsidRPr="00F4004E">
        <w:rPr>
          <w:szCs w:val="22"/>
          <w:vertAlign w:val="subscript"/>
        </w:rPr>
        <w:t>2</w:t>
      </w:r>
      <w:r w:rsidRPr="00BB64FF">
        <w:rPr>
          <w:szCs w:val="22"/>
        </w:rPr>
        <w:t xml:space="preserve"> in excess of 520 </w:t>
      </w:r>
      <w:proofErr w:type="spellStart"/>
      <w:r w:rsidRPr="00BB64FF">
        <w:rPr>
          <w:szCs w:val="22"/>
        </w:rPr>
        <w:t>ng</w:t>
      </w:r>
      <w:proofErr w:type="spellEnd"/>
      <w:r w:rsidRPr="00BB64FF">
        <w:rPr>
          <w:szCs w:val="22"/>
        </w:rPr>
        <w:t>/J (1.2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(2) For an affected facility that burns other than solid or solid-derived fuel, the owner or operator shall not cause to be discharged into the atmosphere any gases that contain SO</w:t>
      </w:r>
      <w:r w:rsidRPr="00F4004E">
        <w:rPr>
          <w:szCs w:val="22"/>
          <w:vertAlign w:val="subscript"/>
        </w:rPr>
        <w:t>2</w:t>
      </w:r>
      <w:r w:rsidRPr="00BB64FF">
        <w:rPr>
          <w:szCs w:val="22"/>
        </w:rPr>
        <w:t xml:space="preserve"> in excess of 230 </w:t>
      </w:r>
      <w:proofErr w:type="spellStart"/>
      <w:r w:rsidRPr="00BB64FF">
        <w:rPr>
          <w:szCs w:val="22"/>
        </w:rPr>
        <w:t>ng</w:t>
      </w:r>
      <w:proofErr w:type="spellEnd"/>
      <w:r w:rsidRPr="00BB64FF">
        <w:rPr>
          <w:szCs w:val="22"/>
        </w:rPr>
        <w:t>/J (0.54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(l) Except as provided in paragraphs (j) and (m) of this section, on and after the date on which the initial performance test is completed or required to be completed under § 60.8, whichever date comes first, no owner or operator of an affected facility for which construction, reconstruction, or modification commenced after May 3, 2011, shall cause to be discharged into the atmosphere from that affected facility, any gases that contain SO</w:t>
      </w:r>
      <w:r w:rsidRPr="00F4004E">
        <w:rPr>
          <w:szCs w:val="22"/>
          <w:vertAlign w:val="subscript"/>
        </w:rPr>
        <w:t xml:space="preserve">2 </w:t>
      </w:r>
      <w:r w:rsidRPr="00BB64FF">
        <w:rPr>
          <w:szCs w:val="22"/>
        </w:rPr>
        <w:t>in excess of the applicable emissions limit specified in paragraphs (l)(1) and (2) of this section.</w:t>
      </w:r>
    </w:p>
    <w:p w:rsidR="00BB64FF" w:rsidRPr="00BB64FF" w:rsidRDefault="00BB64FF" w:rsidP="00BB64FF">
      <w:pPr>
        <w:spacing w:after="40"/>
        <w:ind w:left="20"/>
        <w:rPr>
          <w:szCs w:val="22"/>
        </w:rPr>
      </w:pPr>
      <w:r w:rsidRPr="00BB64FF">
        <w:rPr>
          <w:szCs w:val="22"/>
        </w:rPr>
        <w:t>(1) For an affected facility which commenced construction or reconstruction, any gases that contain SO</w:t>
      </w:r>
      <w:r w:rsidRPr="00F4004E">
        <w:rPr>
          <w:szCs w:val="22"/>
          <w:vertAlign w:val="subscript"/>
        </w:rPr>
        <w:t>2</w:t>
      </w:r>
      <w:r w:rsidRPr="00BB64FF">
        <w:rPr>
          <w:szCs w:val="22"/>
        </w:rPr>
        <w:t xml:space="preserve">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130 </w:t>
      </w:r>
      <w:proofErr w:type="spellStart"/>
      <w:r w:rsidRPr="00BB64FF">
        <w:rPr>
          <w:szCs w:val="22"/>
        </w:rPr>
        <w:t>ng</w:t>
      </w:r>
      <w:proofErr w:type="spellEnd"/>
      <w:r w:rsidRPr="00BB64FF">
        <w:rPr>
          <w:szCs w:val="22"/>
        </w:rPr>
        <w:t>/J (1.0 lb/MWh) gross energy output; or</w:t>
      </w:r>
    </w:p>
    <w:p w:rsidR="00BB64FF" w:rsidRPr="00BB64FF" w:rsidRDefault="00BB64FF" w:rsidP="00BB64FF">
      <w:pPr>
        <w:spacing w:after="40"/>
        <w:ind w:left="20"/>
        <w:rPr>
          <w:szCs w:val="22"/>
        </w:rPr>
      </w:pPr>
      <w:r w:rsidRPr="00BB64FF">
        <w:rPr>
          <w:szCs w:val="22"/>
        </w:rPr>
        <w:t xml:space="preserve">(ii) 140 </w:t>
      </w:r>
      <w:proofErr w:type="spellStart"/>
      <w:r w:rsidRPr="00BB64FF">
        <w:rPr>
          <w:szCs w:val="22"/>
        </w:rPr>
        <w:t>ng</w:t>
      </w:r>
      <w:proofErr w:type="spellEnd"/>
      <w:r w:rsidRPr="00BB64FF">
        <w:rPr>
          <w:szCs w:val="22"/>
        </w:rPr>
        <w:t>/J (1.2 lb/</w:t>
      </w:r>
      <w:proofErr w:type="spellStart"/>
      <w:r w:rsidRPr="00BB64FF">
        <w:rPr>
          <w:szCs w:val="22"/>
        </w:rPr>
        <w:t>MWh</w:t>
      </w:r>
      <w:proofErr w:type="spellEnd"/>
      <w:r w:rsidRPr="00BB64FF">
        <w:rPr>
          <w:szCs w:val="22"/>
        </w:rPr>
        <w:t>) net energy output; or</w:t>
      </w:r>
    </w:p>
    <w:p w:rsidR="00BB64FF" w:rsidRPr="00BB64FF" w:rsidRDefault="00BB64FF" w:rsidP="00BB64FF">
      <w:pPr>
        <w:spacing w:after="40"/>
        <w:ind w:left="20"/>
        <w:rPr>
          <w:szCs w:val="22"/>
        </w:rPr>
      </w:pPr>
      <w:r w:rsidRPr="00BB64FF">
        <w:rPr>
          <w:szCs w:val="22"/>
        </w:rPr>
        <w:t>(iii) 3 percent of the potential combustion concentration (97 percent reduction).</w:t>
      </w:r>
    </w:p>
    <w:p w:rsidR="00BB64FF" w:rsidRPr="00BB64FF" w:rsidRDefault="00BB64FF" w:rsidP="00BB64FF">
      <w:pPr>
        <w:spacing w:after="40"/>
        <w:ind w:left="20"/>
        <w:rPr>
          <w:szCs w:val="22"/>
        </w:rPr>
      </w:pPr>
      <w:r w:rsidRPr="00BB64FF">
        <w:rPr>
          <w:szCs w:val="22"/>
        </w:rPr>
        <w:t>(2) For an affected facility which commenced modification, any gases that contain SO</w:t>
      </w:r>
      <w:r w:rsidRPr="00F4004E">
        <w:rPr>
          <w:szCs w:val="22"/>
          <w:vertAlign w:val="subscript"/>
        </w:rPr>
        <w:t>2</w:t>
      </w:r>
      <w:r w:rsidRPr="00BB64FF">
        <w:rPr>
          <w:szCs w:val="22"/>
        </w:rPr>
        <w:t xml:space="preserve">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/J (1.4 lb/MWh) gross energy output; or</w:t>
      </w:r>
    </w:p>
    <w:p w:rsidR="00BB64FF" w:rsidRPr="00BB64FF" w:rsidRDefault="00BB64FF" w:rsidP="00BB64FF">
      <w:pPr>
        <w:spacing w:after="40"/>
        <w:ind w:left="20"/>
        <w:rPr>
          <w:szCs w:val="22"/>
        </w:rPr>
      </w:pPr>
      <w:r w:rsidRPr="00BB64FF">
        <w:rPr>
          <w:szCs w:val="22"/>
        </w:rPr>
        <w:t>(ii) 10 percent of the potential combustion concentration (90 percent reduction).</w:t>
      </w:r>
    </w:p>
    <w:p w:rsidR="00BB64FF" w:rsidRPr="00BB64FF" w:rsidRDefault="00BB64FF" w:rsidP="00BB64FF">
      <w:pPr>
        <w:spacing w:after="40"/>
        <w:ind w:left="20"/>
        <w:rPr>
          <w:szCs w:val="22"/>
        </w:rPr>
      </w:pPr>
      <w:r w:rsidRPr="00BB64FF">
        <w:rPr>
          <w:szCs w:val="22"/>
        </w:rPr>
        <w:t xml:space="preserve">(m) On and after the date on which the initial performance test is completed or required to be completed under § 60.8, whichever date comes first, no owner or operator of an affected facility located in a </w:t>
      </w:r>
      <w:proofErr w:type="spellStart"/>
      <w:r w:rsidRPr="00BB64FF">
        <w:rPr>
          <w:szCs w:val="22"/>
        </w:rPr>
        <w:t>noncontinental</w:t>
      </w:r>
      <w:proofErr w:type="spellEnd"/>
      <w:r w:rsidRPr="00BB64FF">
        <w:rPr>
          <w:szCs w:val="22"/>
        </w:rPr>
        <w:t xml:space="preserve"> area for which construction, reconstruction, or modification commenced after May 3, 2011, shall cause to be discharged into the atmosphere from that affected facility any gases that contain SO</w:t>
      </w:r>
      <w:r w:rsidRPr="00F4004E">
        <w:rPr>
          <w:szCs w:val="22"/>
          <w:vertAlign w:val="subscript"/>
        </w:rPr>
        <w:t>2</w:t>
      </w:r>
      <w:r w:rsidRPr="00BB64FF">
        <w:rPr>
          <w:szCs w:val="22"/>
        </w:rPr>
        <w:t xml:space="preserve"> in excess of the applicable emissions limit specified in paragraphs (m)(1) and (2) of this section.</w:t>
      </w:r>
    </w:p>
    <w:p w:rsidR="00BB64FF" w:rsidRPr="00BB64FF" w:rsidRDefault="00BB64FF" w:rsidP="00BB64FF">
      <w:pPr>
        <w:spacing w:after="40"/>
        <w:ind w:left="20"/>
        <w:rPr>
          <w:szCs w:val="22"/>
        </w:rPr>
      </w:pPr>
      <w:r w:rsidRPr="00BB64FF">
        <w:rPr>
          <w:szCs w:val="22"/>
        </w:rPr>
        <w:t>(1) For an affected facility that burns solid or solid-derived fuel, the owner or operator shall not cause to be discharged into the atmosphere any gases that contain SO</w:t>
      </w:r>
      <w:r w:rsidRPr="00F4004E">
        <w:rPr>
          <w:szCs w:val="22"/>
          <w:vertAlign w:val="subscript"/>
        </w:rPr>
        <w:t>2</w:t>
      </w:r>
      <w:r w:rsidRPr="00BB64FF">
        <w:rPr>
          <w:szCs w:val="22"/>
        </w:rPr>
        <w:t xml:space="preserve"> in excess of 520 </w:t>
      </w:r>
      <w:proofErr w:type="spellStart"/>
      <w:r w:rsidRPr="00BB64FF">
        <w:rPr>
          <w:szCs w:val="22"/>
        </w:rPr>
        <w:t>ng</w:t>
      </w:r>
      <w:proofErr w:type="spellEnd"/>
      <w:r w:rsidRPr="00BB64FF">
        <w:rPr>
          <w:szCs w:val="22"/>
        </w:rPr>
        <w:t>/J (1.2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(2) For an affected facility that burns other than solid or solid-derived fuel, the owner or operator shall not cause to be discharged into the atmosphere any gases that contain SO</w:t>
      </w:r>
      <w:r w:rsidRPr="00F4004E">
        <w:rPr>
          <w:szCs w:val="22"/>
          <w:vertAlign w:val="subscript"/>
        </w:rPr>
        <w:t>2</w:t>
      </w:r>
      <w:r w:rsidRPr="00BB64FF">
        <w:rPr>
          <w:szCs w:val="22"/>
        </w:rPr>
        <w:t xml:space="preserve"> in excess of 230 </w:t>
      </w:r>
      <w:proofErr w:type="spellStart"/>
      <w:r w:rsidRPr="00BB64FF">
        <w:rPr>
          <w:szCs w:val="22"/>
        </w:rPr>
        <w:t>ng</w:t>
      </w:r>
      <w:proofErr w:type="spellEnd"/>
      <w:r w:rsidRPr="00BB64FF">
        <w:rPr>
          <w:szCs w:val="22"/>
        </w:rPr>
        <w:t>/J (0.54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[72 FR 32722, June 13, 2007, as amended at 77 FR 9450, Feb. 16, 2012]</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 60.44Da   Standards for nitrogen oxides (</w:t>
      </w:r>
      <w:proofErr w:type="gramStart"/>
      <w:r w:rsidRPr="00BB64FF">
        <w:rPr>
          <w:szCs w:val="22"/>
        </w:rPr>
        <w:t>NOX )</w:t>
      </w:r>
      <w:proofErr w:type="gramEnd"/>
      <w:r w:rsidRPr="00BB64FF">
        <w:rPr>
          <w:szCs w:val="22"/>
        </w:rPr>
        <w:t>.</w:t>
      </w:r>
    </w:p>
    <w:p w:rsidR="00BB64FF" w:rsidRPr="00BB64FF" w:rsidRDefault="00BB64FF" w:rsidP="00BB64FF">
      <w:pPr>
        <w:spacing w:after="40"/>
        <w:ind w:left="20"/>
        <w:rPr>
          <w:szCs w:val="22"/>
        </w:rPr>
      </w:pPr>
      <w:r w:rsidRPr="00BB64FF">
        <w:rPr>
          <w:szCs w:val="22"/>
        </w:rPr>
        <w:t>(a) Except as provided in paragraph (h) of this section, on and after the date on which the initial performance test is completed or required to be completed under § 60.8, whichever date comes first, no owner or operator subject to the provisions of this subpart shall cause to be discharged into the atmosphere from any affected facility for which construction, reconstruction, or modification commenced before July 10, 1997 any gases that contain NOX (expressed as NO</w:t>
      </w:r>
      <w:r w:rsidRPr="00F4004E">
        <w:rPr>
          <w:szCs w:val="22"/>
          <w:vertAlign w:val="subscript"/>
        </w:rPr>
        <w:t>2</w:t>
      </w:r>
      <w:r w:rsidRPr="00BB64FF">
        <w:rPr>
          <w:szCs w:val="22"/>
        </w:rPr>
        <w:t>) in excess of the applicable emissions limit in paragraphs (a)(1) and (2) of this section.</w:t>
      </w:r>
    </w:p>
    <w:p w:rsidR="00BB64FF" w:rsidRPr="00BB64FF" w:rsidRDefault="00BB64FF" w:rsidP="00BB64FF">
      <w:pPr>
        <w:spacing w:after="40"/>
        <w:ind w:left="20"/>
        <w:rPr>
          <w:szCs w:val="22"/>
        </w:rPr>
      </w:pPr>
      <w:r w:rsidRPr="00BB64FF">
        <w:rPr>
          <w:szCs w:val="22"/>
        </w:rPr>
        <w:t>(1) The owner or operator shall not cause to be discharged into the atmosphere any gases that contain NOX in excess of the emissions limit listed in the following table as applicable to the fuel type combusted and as determined on a 30-boiler operating day rolling average basis.</w:t>
      </w:r>
    </w:p>
    <w:p w:rsidR="00BB64FF" w:rsidRPr="00BB64FF" w:rsidRDefault="00BB64FF" w:rsidP="00BB64FF">
      <w:pPr>
        <w:spacing w:after="40"/>
        <w:ind w:left="20"/>
        <w:rPr>
          <w:szCs w:val="22"/>
        </w:rPr>
      </w:pPr>
      <w:r w:rsidRPr="00BB64FF">
        <w:rPr>
          <w:szCs w:val="22"/>
        </w:rPr>
        <w:t xml:space="preserve">Fuel type Emission limit for heat input </w:t>
      </w:r>
    </w:p>
    <w:p w:rsidR="00BB64FF" w:rsidRPr="00BB64FF" w:rsidRDefault="00BB64FF" w:rsidP="00BB64FF">
      <w:pPr>
        <w:spacing w:after="40"/>
        <w:ind w:left="20"/>
        <w:rPr>
          <w:szCs w:val="22"/>
        </w:rPr>
      </w:pPr>
      <w:proofErr w:type="spellStart"/>
      <w:proofErr w:type="gramStart"/>
      <w:r w:rsidRPr="00BB64FF">
        <w:rPr>
          <w:szCs w:val="22"/>
        </w:rPr>
        <w:t>ng</w:t>
      </w:r>
      <w:proofErr w:type="spellEnd"/>
      <w:r w:rsidRPr="00BB64FF">
        <w:rPr>
          <w:szCs w:val="22"/>
        </w:rPr>
        <w:t>/J</w:t>
      </w:r>
      <w:proofErr w:type="gramEnd"/>
      <w:r w:rsidRPr="00BB64FF">
        <w:rPr>
          <w:szCs w:val="22"/>
        </w:rPr>
        <w:t xml:space="preserve"> lb/</w:t>
      </w:r>
      <w:proofErr w:type="spellStart"/>
      <w:r w:rsidRPr="00BB64FF">
        <w:rPr>
          <w:szCs w:val="22"/>
        </w:rPr>
        <w:t>MMBtu</w:t>
      </w:r>
      <w:proofErr w:type="spellEnd"/>
      <w:r w:rsidRPr="00BB64FF">
        <w:rPr>
          <w:szCs w:val="22"/>
        </w:rPr>
        <w:t xml:space="preserve"> </w:t>
      </w:r>
    </w:p>
    <w:p w:rsidR="00BB64FF" w:rsidRPr="00BB64FF" w:rsidRDefault="00BB64FF" w:rsidP="00BB64FF">
      <w:pPr>
        <w:spacing w:after="40"/>
        <w:ind w:left="20"/>
        <w:rPr>
          <w:szCs w:val="22"/>
        </w:rPr>
      </w:pPr>
      <w:r w:rsidRPr="00BB64FF">
        <w:rPr>
          <w:szCs w:val="22"/>
        </w:rPr>
        <w:t xml:space="preserve">Gaseous fuels:   </w:t>
      </w:r>
    </w:p>
    <w:p w:rsidR="00BB64FF" w:rsidRPr="00BB64FF" w:rsidRDefault="00BB64FF" w:rsidP="00BB64FF">
      <w:pPr>
        <w:spacing w:after="40"/>
        <w:ind w:left="20"/>
        <w:rPr>
          <w:szCs w:val="22"/>
        </w:rPr>
      </w:pPr>
      <w:r w:rsidRPr="00BB64FF">
        <w:rPr>
          <w:szCs w:val="22"/>
        </w:rPr>
        <w:t xml:space="preserve">Coal-derived fuels 210 0.50 </w:t>
      </w:r>
    </w:p>
    <w:p w:rsidR="00BB64FF" w:rsidRPr="00BB64FF" w:rsidRDefault="00BB64FF" w:rsidP="00BB64FF">
      <w:pPr>
        <w:spacing w:after="40"/>
        <w:ind w:left="20"/>
        <w:rPr>
          <w:szCs w:val="22"/>
        </w:rPr>
      </w:pPr>
      <w:r w:rsidRPr="00BB64FF">
        <w:rPr>
          <w:szCs w:val="22"/>
        </w:rPr>
        <w:t xml:space="preserve">All other fuels 86 0.20 </w:t>
      </w:r>
    </w:p>
    <w:p w:rsidR="00BB64FF" w:rsidRPr="00BB64FF" w:rsidRDefault="00BB64FF" w:rsidP="00BB64FF">
      <w:pPr>
        <w:spacing w:after="40"/>
        <w:ind w:left="20"/>
        <w:rPr>
          <w:szCs w:val="22"/>
        </w:rPr>
      </w:pPr>
      <w:r w:rsidRPr="00BB64FF">
        <w:rPr>
          <w:szCs w:val="22"/>
        </w:rPr>
        <w:lastRenderedPageBreak/>
        <w:t xml:space="preserve">Liquid fuels:   </w:t>
      </w:r>
    </w:p>
    <w:p w:rsidR="00BB64FF" w:rsidRPr="00BB64FF" w:rsidRDefault="00BB64FF" w:rsidP="00BB64FF">
      <w:pPr>
        <w:spacing w:after="40"/>
        <w:ind w:left="20"/>
        <w:rPr>
          <w:szCs w:val="22"/>
        </w:rPr>
      </w:pPr>
      <w:r w:rsidRPr="00BB64FF">
        <w:rPr>
          <w:szCs w:val="22"/>
        </w:rPr>
        <w:t xml:space="preserve">Coal-derived fuels 210 0.50 </w:t>
      </w:r>
    </w:p>
    <w:p w:rsidR="00BB64FF" w:rsidRPr="00BB64FF" w:rsidRDefault="00BB64FF" w:rsidP="00BB64FF">
      <w:pPr>
        <w:spacing w:after="40"/>
        <w:ind w:left="20"/>
        <w:rPr>
          <w:szCs w:val="22"/>
        </w:rPr>
      </w:pPr>
      <w:r w:rsidRPr="00BB64FF">
        <w:rPr>
          <w:szCs w:val="22"/>
        </w:rPr>
        <w:t xml:space="preserve">Shale oil 210 0.50 </w:t>
      </w:r>
    </w:p>
    <w:p w:rsidR="00BB64FF" w:rsidRPr="00BB64FF" w:rsidRDefault="00BB64FF" w:rsidP="00BB64FF">
      <w:pPr>
        <w:spacing w:after="40"/>
        <w:ind w:left="20"/>
        <w:rPr>
          <w:szCs w:val="22"/>
        </w:rPr>
      </w:pPr>
      <w:r w:rsidRPr="00BB64FF">
        <w:rPr>
          <w:szCs w:val="22"/>
        </w:rPr>
        <w:t xml:space="preserve">All other fuels 130 0.30 </w:t>
      </w:r>
    </w:p>
    <w:p w:rsidR="00BB64FF" w:rsidRPr="00BB64FF" w:rsidRDefault="00BB64FF" w:rsidP="00BB64FF">
      <w:pPr>
        <w:spacing w:after="40"/>
        <w:ind w:left="20"/>
        <w:rPr>
          <w:szCs w:val="22"/>
        </w:rPr>
      </w:pPr>
      <w:r w:rsidRPr="00BB64FF">
        <w:rPr>
          <w:szCs w:val="22"/>
        </w:rPr>
        <w:t xml:space="preserve">Solid fuels:   </w:t>
      </w:r>
    </w:p>
    <w:p w:rsidR="00BB64FF" w:rsidRPr="00BB64FF" w:rsidRDefault="00BB64FF" w:rsidP="00BB64FF">
      <w:pPr>
        <w:spacing w:after="40"/>
        <w:ind w:left="20"/>
        <w:rPr>
          <w:szCs w:val="22"/>
        </w:rPr>
      </w:pPr>
      <w:r w:rsidRPr="00BB64FF">
        <w:rPr>
          <w:szCs w:val="22"/>
        </w:rPr>
        <w:t xml:space="preserve">Coal-derived fuels 210 0.50 </w:t>
      </w:r>
    </w:p>
    <w:p w:rsidR="00BB64FF" w:rsidRPr="00BB64FF" w:rsidRDefault="00BB64FF" w:rsidP="00BB64FF">
      <w:pPr>
        <w:spacing w:after="40"/>
        <w:ind w:left="20"/>
        <w:rPr>
          <w:szCs w:val="22"/>
        </w:rPr>
      </w:pPr>
      <w:r w:rsidRPr="00BB64FF">
        <w:rPr>
          <w:szCs w:val="22"/>
        </w:rPr>
        <w:t xml:space="preserve">Any </w:t>
      </w:r>
      <w:proofErr w:type="gramStart"/>
      <w:r w:rsidRPr="00BB64FF">
        <w:rPr>
          <w:szCs w:val="22"/>
        </w:rPr>
        <w:t>fuel containing more than 25%, by weight, coal refuse</w:t>
      </w:r>
      <w:proofErr w:type="gramEnd"/>
      <w:r w:rsidRPr="00BB64FF">
        <w:rPr>
          <w:szCs w:val="22"/>
        </w:rPr>
        <w:t xml:space="preserve"> (1) (1) </w:t>
      </w:r>
    </w:p>
    <w:p w:rsidR="00BB64FF" w:rsidRPr="00BB64FF" w:rsidRDefault="00BB64FF" w:rsidP="00BB64FF">
      <w:pPr>
        <w:spacing w:after="40"/>
        <w:ind w:left="20"/>
        <w:rPr>
          <w:szCs w:val="22"/>
        </w:rPr>
      </w:pPr>
      <w:r w:rsidRPr="00BB64FF">
        <w:rPr>
          <w:szCs w:val="22"/>
        </w:rPr>
        <w:t xml:space="preserve">Any fuel containing more than 25%, by weight, lignite if the lignite is mined in North Dakota, South Dakota, or Montana, and is combusted in a slag tap furnace 2 340 0.80 </w:t>
      </w:r>
    </w:p>
    <w:p w:rsidR="00BB64FF" w:rsidRPr="00BB64FF" w:rsidRDefault="00BB64FF" w:rsidP="00BB64FF">
      <w:pPr>
        <w:spacing w:after="40"/>
        <w:ind w:left="20"/>
        <w:rPr>
          <w:szCs w:val="22"/>
        </w:rPr>
      </w:pPr>
      <w:r w:rsidRPr="00BB64FF">
        <w:rPr>
          <w:szCs w:val="22"/>
        </w:rPr>
        <w:t xml:space="preserve">Any fuel containing more than 25%, by weight, lignite not subject to the 340 </w:t>
      </w:r>
      <w:proofErr w:type="spellStart"/>
      <w:r w:rsidRPr="00BB64FF">
        <w:rPr>
          <w:szCs w:val="22"/>
        </w:rPr>
        <w:t>ng</w:t>
      </w:r>
      <w:proofErr w:type="spellEnd"/>
      <w:r w:rsidRPr="00BB64FF">
        <w:rPr>
          <w:szCs w:val="22"/>
        </w:rPr>
        <w:t xml:space="preserve">/J heat input emission limit 2 260 0.60 </w:t>
      </w:r>
    </w:p>
    <w:p w:rsidR="00BB64FF" w:rsidRPr="00BB64FF" w:rsidRDefault="00BB64FF" w:rsidP="00BB64FF">
      <w:pPr>
        <w:spacing w:after="40"/>
        <w:ind w:left="20"/>
        <w:rPr>
          <w:szCs w:val="22"/>
        </w:rPr>
      </w:pPr>
      <w:proofErr w:type="spellStart"/>
      <w:r w:rsidRPr="00BB64FF">
        <w:rPr>
          <w:szCs w:val="22"/>
        </w:rPr>
        <w:t>Subbituminous</w:t>
      </w:r>
      <w:proofErr w:type="spellEnd"/>
      <w:r w:rsidRPr="00BB64FF">
        <w:rPr>
          <w:szCs w:val="22"/>
        </w:rPr>
        <w:t xml:space="preserve"> coal 210 0.50 </w:t>
      </w:r>
    </w:p>
    <w:p w:rsidR="00BB64FF" w:rsidRPr="00BB64FF" w:rsidRDefault="00BB64FF" w:rsidP="00BB64FF">
      <w:pPr>
        <w:spacing w:after="40"/>
        <w:ind w:left="20"/>
        <w:rPr>
          <w:szCs w:val="22"/>
        </w:rPr>
      </w:pPr>
      <w:r w:rsidRPr="00BB64FF">
        <w:rPr>
          <w:szCs w:val="22"/>
        </w:rPr>
        <w:t xml:space="preserve">Bituminous coal 260 0.60 </w:t>
      </w:r>
    </w:p>
    <w:p w:rsidR="00BB64FF" w:rsidRPr="00BB64FF" w:rsidRDefault="00BB64FF" w:rsidP="00BB64FF">
      <w:pPr>
        <w:spacing w:after="40"/>
        <w:ind w:left="20"/>
        <w:rPr>
          <w:szCs w:val="22"/>
        </w:rPr>
      </w:pPr>
      <w:r w:rsidRPr="00BB64FF">
        <w:rPr>
          <w:szCs w:val="22"/>
        </w:rPr>
        <w:t xml:space="preserve">Anthracite coal 260 0.60 </w:t>
      </w:r>
    </w:p>
    <w:p w:rsidR="00BB64FF" w:rsidRPr="00BB64FF" w:rsidRDefault="00BB64FF" w:rsidP="00BB64FF">
      <w:pPr>
        <w:spacing w:after="40"/>
        <w:ind w:left="20"/>
        <w:rPr>
          <w:szCs w:val="22"/>
        </w:rPr>
      </w:pPr>
      <w:r w:rsidRPr="00BB64FF">
        <w:rPr>
          <w:szCs w:val="22"/>
        </w:rPr>
        <w:t xml:space="preserve">All other fuels 260 0.60 </w:t>
      </w:r>
    </w:p>
    <w:p w:rsidR="00BB64FF" w:rsidRPr="00BB64FF" w:rsidRDefault="00BB64FF" w:rsidP="00BB64FF">
      <w:pPr>
        <w:spacing w:after="40"/>
        <w:ind w:left="20"/>
        <w:rPr>
          <w:szCs w:val="22"/>
        </w:rPr>
      </w:pPr>
      <w:proofErr w:type="gramStart"/>
      <w:r w:rsidRPr="00BB64FF">
        <w:rPr>
          <w:szCs w:val="22"/>
        </w:rPr>
        <w:t xml:space="preserve">1 Exempt from </w:t>
      </w:r>
      <w:proofErr w:type="spellStart"/>
      <w:r w:rsidRPr="00BB64FF">
        <w:rPr>
          <w:szCs w:val="22"/>
        </w:rPr>
        <w:t>NOXstandards</w:t>
      </w:r>
      <w:proofErr w:type="spellEnd"/>
      <w:r w:rsidRPr="00BB64FF">
        <w:rPr>
          <w:szCs w:val="22"/>
        </w:rPr>
        <w:t xml:space="preserve"> and </w:t>
      </w:r>
      <w:proofErr w:type="spellStart"/>
      <w:r w:rsidRPr="00BB64FF">
        <w:rPr>
          <w:szCs w:val="22"/>
        </w:rPr>
        <w:t>NOXmonitoring</w:t>
      </w:r>
      <w:proofErr w:type="spellEnd"/>
      <w:r w:rsidRPr="00BB64FF">
        <w:rPr>
          <w:szCs w:val="22"/>
        </w:rPr>
        <w:t xml:space="preserve"> requirements.</w:t>
      </w:r>
      <w:proofErr w:type="gramEnd"/>
    </w:p>
    <w:p w:rsidR="00BB64FF" w:rsidRPr="00BB64FF" w:rsidRDefault="00BB64FF" w:rsidP="00BB64FF">
      <w:pPr>
        <w:spacing w:after="40"/>
        <w:ind w:left="20"/>
        <w:rPr>
          <w:szCs w:val="22"/>
        </w:rPr>
      </w:pPr>
      <w:r w:rsidRPr="00BB64FF">
        <w:rPr>
          <w:szCs w:val="22"/>
        </w:rPr>
        <w:t>2 Any fuel containing less than 25%, by weight, lignite is not prorated but its percentage is added to the percentage of the predominant fuel.</w:t>
      </w:r>
    </w:p>
    <w:p w:rsidR="00BB64FF" w:rsidRPr="00BB64FF" w:rsidRDefault="00BB64FF" w:rsidP="00BB64FF">
      <w:pPr>
        <w:spacing w:after="40"/>
        <w:ind w:left="20"/>
        <w:rPr>
          <w:szCs w:val="22"/>
        </w:rPr>
      </w:pPr>
      <w:r w:rsidRPr="00BB64FF">
        <w:rPr>
          <w:szCs w:val="22"/>
        </w:rPr>
        <w:t>(2) When two or more fuels are combusted simultaneously in an affected facility, the applicable emissions limit (</w:t>
      </w:r>
      <w:proofErr w:type="gramStart"/>
      <w:r w:rsidRPr="00BB64FF">
        <w:rPr>
          <w:szCs w:val="22"/>
        </w:rPr>
        <w:t>En )</w:t>
      </w:r>
      <w:proofErr w:type="gramEnd"/>
      <w:r w:rsidRPr="00BB64FF">
        <w:rPr>
          <w:szCs w:val="22"/>
        </w:rPr>
        <w:t xml:space="preserve"> is determined by proration using the following formula:</w:t>
      </w:r>
    </w:p>
    <w:p w:rsidR="00BB64FF" w:rsidRPr="00BB64FF" w:rsidRDefault="00BB64FF" w:rsidP="00BB64FF">
      <w:pPr>
        <w:spacing w:after="40"/>
        <w:ind w:left="20"/>
        <w:rPr>
          <w:szCs w:val="22"/>
        </w:rPr>
      </w:pPr>
      <w:r w:rsidRPr="00BB64FF">
        <w:rPr>
          <w:szCs w:val="22"/>
        </w:rPr>
        <w:t>Where:</w:t>
      </w:r>
    </w:p>
    <w:p w:rsidR="00BB64FF" w:rsidRPr="00BB64FF" w:rsidRDefault="00BB64FF" w:rsidP="00BB64FF">
      <w:pPr>
        <w:spacing w:after="40"/>
        <w:ind w:left="20"/>
        <w:rPr>
          <w:szCs w:val="22"/>
        </w:rPr>
      </w:pPr>
      <w:r w:rsidRPr="00BB64FF">
        <w:rPr>
          <w:szCs w:val="22"/>
        </w:rPr>
        <w:t>En = Applicable NOX emissions limit when multiple fuels are combusted simultaneously (</w:t>
      </w:r>
      <w:proofErr w:type="spellStart"/>
      <w:r w:rsidRPr="00BB64FF">
        <w:rPr>
          <w:szCs w:val="22"/>
        </w:rPr>
        <w:t>ng</w:t>
      </w:r>
      <w:proofErr w:type="spellEnd"/>
      <w:r w:rsidRPr="00BB64FF">
        <w:rPr>
          <w:szCs w:val="22"/>
        </w:rPr>
        <w:t>/J heat input);</w:t>
      </w:r>
    </w:p>
    <w:p w:rsidR="00BB64FF" w:rsidRPr="00BB64FF" w:rsidRDefault="00BB64FF" w:rsidP="00BB64FF">
      <w:pPr>
        <w:spacing w:after="40"/>
        <w:ind w:left="20"/>
        <w:rPr>
          <w:szCs w:val="22"/>
        </w:rPr>
      </w:pPr>
      <w:r w:rsidRPr="00BB64FF">
        <w:rPr>
          <w:szCs w:val="22"/>
        </w:rPr>
        <w:t xml:space="preserve">w = Percentage of total heat input derived from the combustion of fuels subject to the 86 </w:t>
      </w:r>
      <w:proofErr w:type="spellStart"/>
      <w:r w:rsidRPr="00BB64FF">
        <w:rPr>
          <w:szCs w:val="22"/>
        </w:rPr>
        <w:t>ng</w:t>
      </w:r>
      <w:proofErr w:type="spellEnd"/>
      <w:r w:rsidRPr="00BB64FF">
        <w:rPr>
          <w:szCs w:val="22"/>
        </w:rPr>
        <w:t>/J heat input standard;</w:t>
      </w:r>
    </w:p>
    <w:p w:rsidR="00BB64FF" w:rsidRPr="00BB64FF" w:rsidRDefault="00BB64FF" w:rsidP="00BB64FF">
      <w:pPr>
        <w:spacing w:after="40"/>
        <w:ind w:left="20"/>
        <w:rPr>
          <w:szCs w:val="22"/>
        </w:rPr>
      </w:pPr>
      <w:r w:rsidRPr="00BB64FF">
        <w:rPr>
          <w:szCs w:val="22"/>
        </w:rPr>
        <w:t xml:space="preserve">x = Percentage of total heat input derived from the combustion of fuels subject to the 130 </w:t>
      </w:r>
      <w:proofErr w:type="spellStart"/>
      <w:r w:rsidRPr="00BB64FF">
        <w:rPr>
          <w:szCs w:val="22"/>
        </w:rPr>
        <w:t>ng</w:t>
      </w:r>
      <w:proofErr w:type="spellEnd"/>
      <w:r w:rsidRPr="00BB64FF">
        <w:rPr>
          <w:szCs w:val="22"/>
        </w:rPr>
        <w:t>/J heat input standard;</w:t>
      </w:r>
    </w:p>
    <w:p w:rsidR="00BB64FF" w:rsidRPr="00BB64FF" w:rsidRDefault="00BB64FF" w:rsidP="00BB64FF">
      <w:pPr>
        <w:spacing w:after="40"/>
        <w:ind w:left="20"/>
        <w:rPr>
          <w:szCs w:val="22"/>
        </w:rPr>
      </w:pPr>
      <w:r w:rsidRPr="00BB64FF">
        <w:rPr>
          <w:szCs w:val="22"/>
        </w:rPr>
        <w:t xml:space="preserve">y = Percentage of total heat input derived from the combustion of fuels subject to the 210 </w:t>
      </w:r>
      <w:proofErr w:type="spellStart"/>
      <w:r w:rsidRPr="00BB64FF">
        <w:rPr>
          <w:szCs w:val="22"/>
        </w:rPr>
        <w:t>ng</w:t>
      </w:r>
      <w:proofErr w:type="spellEnd"/>
      <w:r w:rsidRPr="00BB64FF">
        <w:rPr>
          <w:szCs w:val="22"/>
        </w:rPr>
        <w:t>/J heat input standard;</w:t>
      </w:r>
    </w:p>
    <w:p w:rsidR="00BB64FF" w:rsidRPr="00BB64FF" w:rsidRDefault="00BB64FF" w:rsidP="00BB64FF">
      <w:pPr>
        <w:spacing w:after="40"/>
        <w:ind w:left="20"/>
        <w:rPr>
          <w:szCs w:val="22"/>
        </w:rPr>
      </w:pPr>
      <w:r w:rsidRPr="00BB64FF">
        <w:rPr>
          <w:szCs w:val="22"/>
        </w:rPr>
        <w:t xml:space="preserve">z = Percentage of total heat input derived from the combustion of fuels subject to the 260 </w:t>
      </w:r>
      <w:proofErr w:type="spellStart"/>
      <w:r w:rsidRPr="00BB64FF">
        <w:rPr>
          <w:szCs w:val="22"/>
        </w:rPr>
        <w:t>ng</w:t>
      </w:r>
      <w:proofErr w:type="spellEnd"/>
      <w:r w:rsidRPr="00BB64FF">
        <w:rPr>
          <w:szCs w:val="22"/>
        </w:rPr>
        <w:t>/J heat input standard; and</w:t>
      </w:r>
    </w:p>
    <w:p w:rsidR="00BB64FF" w:rsidRPr="00BB64FF" w:rsidRDefault="00BB64FF" w:rsidP="00BB64FF">
      <w:pPr>
        <w:spacing w:after="40"/>
        <w:ind w:left="20"/>
        <w:rPr>
          <w:szCs w:val="22"/>
        </w:rPr>
      </w:pPr>
      <w:r w:rsidRPr="00BB64FF">
        <w:rPr>
          <w:szCs w:val="22"/>
        </w:rPr>
        <w:t xml:space="preserve">v = Percentage of total heat input delivered from the combustion of fuels subject to the 340 </w:t>
      </w:r>
      <w:proofErr w:type="spellStart"/>
      <w:r w:rsidRPr="00BB64FF">
        <w:rPr>
          <w:szCs w:val="22"/>
        </w:rPr>
        <w:t>ng</w:t>
      </w:r>
      <w:proofErr w:type="spellEnd"/>
      <w:r w:rsidRPr="00BB64FF">
        <w:rPr>
          <w:szCs w:val="22"/>
        </w:rPr>
        <w:t>/J heat input standard.</w:t>
      </w:r>
    </w:p>
    <w:p w:rsidR="00BB64FF" w:rsidRPr="00BB64FF" w:rsidRDefault="00BB64FF" w:rsidP="00BB64FF">
      <w:pPr>
        <w:spacing w:after="40"/>
        <w:ind w:left="20"/>
        <w:rPr>
          <w:szCs w:val="22"/>
        </w:rPr>
      </w:pPr>
      <w:r w:rsidRPr="00BB64FF">
        <w:rPr>
          <w:szCs w:val="22"/>
        </w:rPr>
        <w:t>(b)-(c) [Reserved]</w:t>
      </w:r>
    </w:p>
    <w:p w:rsidR="00BB64FF" w:rsidRPr="00BB64FF" w:rsidRDefault="00BB64FF" w:rsidP="00BB64FF">
      <w:pPr>
        <w:spacing w:after="40"/>
        <w:ind w:left="20"/>
        <w:rPr>
          <w:szCs w:val="22"/>
        </w:rPr>
      </w:pPr>
      <w:r w:rsidRPr="00BB64FF">
        <w:rPr>
          <w:szCs w:val="22"/>
        </w:rPr>
        <w:t>(d) Except as provided in paragraph (h) of this section, on and after the date on which the initial performance test is completed or required to be completed under § 60.8, whichever date comes first, no owner or operator of an affected facility that commenced construction, reconstruction, or modification after July 9, 1997, but before March 1, 2005, shall cause to be discharged into the atmosphere from that affected facility any gases that contain NOX (expressed as NO</w:t>
      </w:r>
      <w:r w:rsidRPr="00F4004E">
        <w:rPr>
          <w:szCs w:val="22"/>
          <w:vertAlign w:val="subscript"/>
        </w:rPr>
        <w:t>2</w:t>
      </w:r>
      <w:r w:rsidRPr="00BB64FF">
        <w:rPr>
          <w:szCs w:val="22"/>
        </w:rPr>
        <w:t>) in excess of the applicable emissions limit specified in paragraphs (d)(1) and (2) of this section as determined on a 30-boiler operating day rolling average basis.</w:t>
      </w:r>
    </w:p>
    <w:p w:rsidR="00BB64FF" w:rsidRPr="00BB64FF" w:rsidRDefault="00BB64FF" w:rsidP="00BB64FF">
      <w:pPr>
        <w:spacing w:after="40"/>
        <w:ind w:left="20"/>
        <w:rPr>
          <w:szCs w:val="22"/>
        </w:rPr>
      </w:pPr>
      <w:r w:rsidRPr="00BB64FF">
        <w:rPr>
          <w:szCs w:val="22"/>
        </w:rPr>
        <w:t xml:space="preserve">(1) For an affected facility which commenced construction, any gases that contain NOX </w:t>
      </w:r>
      <w:proofErr w:type="gramStart"/>
      <w:r w:rsidRPr="00BB64FF">
        <w:rPr>
          <w:szCs w:val="22"/>
        </w:rPr>
        <w:t xml:space="preserve">in excess of 200 </w:t>
      </w:r>
      <w:proofErr w:type="spellStart"/>
      <w:r w:rsidRPr="00BB64FF">
        <w:rPr>
          <w:szCs w:val="22"/>
        </w:rPr>
        <w:t>ng</w:t>
      </w:r>
      <w:proofErr w:type="spellEnd"/>
      <w:r w:rsidRPr="00BB64FF">
        <w:rPr>
          <w:szCs w:val="22"/>
        </w:rPr>
        <w:t>/J (1.6 lb/</w:t>
      </w:r>
      <w:proofErr w:type="spellStart"/>
      <w:r w:rsidRPr="00BB64FF">
        <w:rPr>
          <w:szCs w:val="22"/>
        </w:rPr>
        <w:t>MWh</w:t>
      </w:r>
      <w:proofErr w:type="spellEnd"/>
      <w:r w:rsidRPr="00BB64FF">
        <w:rPr>
          <w:szCs w:val="22"/>
        </w:rPr>
        <w:t>)</w:t>
      </w:r>
      <w:proofErr w:type="gramEnd"/>
      <w:r w:rsidRPr="00BB64FF">
        <w:rPr>
          <w:szCs w:val="22"/>
        </w:rPr>
        <w:t xml:space="preserve"> gross energy output.</w:t>
      </w:r>
    </w:p>
    <w:p w:rsidR="00BB64FF" w:rsidRPr="00BB64FF" w:rsidRDefault="00BB64FF" w:rsidP="00BB64FF">
      <w:pPr>
        <w:spacing w:after="40"/>
        <w:ind w:left="20"/>
        <w:rPr>
          <w:szCs w:val="22"/>
        </w:rPr>
      </w:pPr>
      <w:r w:rsidRPr="00BB64FF">
        <w:rPr>
          <w:szCs w:val="22"/>
        </w:rPr>
        <w:t xml:space="preserve">(2) For an affected facility which commenced reconstruction, any gases that contain NOX </w:t>
      </w:r>
      <w:proofErr w:type="gramStart"/>
      <w:r w:rsidRPr="00BB64FF">
        <w:rPr>
          <w:szCs w:val="22"/>
        </w:rPr>
        <w:t xml:space="preserve">in excess of 65 </w:t>
      </w:r>
      <w:proofErr w:type="spellStart"/>
      <w:r w:rsidRPr="00BB64FF">
        <w:rPr>
          <w:szCs w:val="22"/>
        </w:rPr>
        <w:t>ng</w:t>
      </w:r>
      <w:proofErr w:type="spellEnd"/>
      <w:r w:rsidRPr="00BB64FF">
        <w:rPr>
          <w:szCs w:val="22"/>
        </w:rPr>
        <w:t>/J (0.15 lb/</w:t>
      </w:r>
      <w:proofErr w:type="spellStart"/>
      <w:r w:rsidRPr="00BB64FF">
        <w:rPr>
          <w:szCs w:val="22"/>
        </w:rPr>
        <w:t>MMBtu</w:t>
      </w:r>
      <w:proofErr w:type="spellEnd"/>
      <w:r w:rsidRPr="00BB64FF">
        <w:rPr>
          <w:szCs w:val="22"/>
        </w:rPr>
        <w:t>)</w:t>
      </w:r>
      <w:proofErr w:type="gramEnd"/>
      <w:r w:rsidRPr="00BB64FF">
        <w:rPr>
          <w:szCs w:val="22"/>
        </w:rPr>
        <w:t xml:space="preserve"> heat input.</w:t>
      </w:r>
    </w:p>
    <w:p w:rsidR="00BB64FF" w:rsidRPr="00BB64FF" w:rsidRDefault="00BB64FF" w:rsidP="00BB64FF">
      <w:pPr>
        <w:spacing w:after="40"/>
        <w:ind w:left="20"/>
        <w:rPr>
          <w:szCs w:val="22"/>
        </w:rPr>
      </w:pPr>
      <w:r w:rsidRPr="00BB64FF">
        <w:rPr>
          <w:szCs w:val="22"/>
        </w:rPr>
        <w:lastRenderedPageBreak/>
        <w:t>(e) Except as provided in paragraphs (f) and (h) of this section, on and after the date on which the initial performance test is completed or required to be completed under § 60.8, whichever date comes first, no owner or operator of an affected facility that commenced construction, reconstruction, or modification after February 28, 2005 but before May 4, 2011, shall cause to be discharged into the atmosphere from that affected facility any gases that contain NOX (expressed as NO</w:t>
      </w:r>
      <w:r w:rsidRPr="00F4004E">
        <w:rPr>
          <w:szCs w:val="22"/>
          <w:vertAlign w:val="subscript"/>
        </w:rPr>
        <w:t>2</w:t>
      </w:r>
      <w:r w:rsidRPr="00BB64FF">
        <w:rPr>
          <w:szCs w:val="22"/>
        </w:rPr>
        <w:t>) in excess of the applicable emissions limit specified in paragraphs (e)(1) through (3) of this section as determined on a 30-boiler operating day rolling average basis.</w:t>
      </w:r>
    </w:p>
    <w:p w:rsidR="00BB64FF" w:rsidRPr="00BB64FF" w:rsidRDefault="00BB64FF" w:rsidP="00BB64FF">
      <w:pPr>
        <w:spacing w:after="40"/>
        <w:ind w:left="20"/>
        <w:rPr>
          <w:szCs w:val="22"/>
        </w:rPr>
      </w:pPr>
      <w:r w:rsidRPr="00BB64FF">
        <w:rPr>
          <w:szCs w:val="22"/>
        </w:rPr>
        <w:t xml:space="preserve">(1) For an affected facility which commenced construction, any gases that contain NOX </w:t>
      </w:r>
      <w:proofErr w:type="gramStart"/>
      <w:r w:rsidRPr="00BB64FF">
        <w:rPr>
          <w:szCs w:val="22"/>
        </w:rPr>
        <w:t xml:space="preserve">in excess of 130 </w:t>
      </w:r>
      <w:proofErr w:type="spellStart"/>
      <w:r w:rsidRPr="00BB64FF">
        <w:rPr>
          <w:szCs w:val="22"/>
        </w:rPr>
        <w:t>ng</w:t>
      </w:r>
      <w:proofErr w:type="spellEnd"/>
      <w:r w:rsidRPr="00BB64FF">
        <w:rPr>
          <w:szCs w:val="22"/>
        </w:rPr>
        <w:t>/J (1.0 lb/</w:t>
      </w:r>
      <w:proofErr w:type="spellStart"/>
      <w:r w:rsidRPr="00BB64FF">
        <w:rPr>
          <w:szCs w:val="22"/>
        </w:rPr>
        <w:t>MWh</w:t>
      </w:r>
      <w:proofErr w:type="spellEnd"/>
      <w:r w:rsidRPr="00BB64FF">
        <w:rPr>
          <w:szCs w:val="22"/>
        </w:rPr>
        <w:t>)</w:t>
      </w:r>
      <w:proofErr w:type="gramEnd"/>
      <w:r w:rsidRPr="00BB64FF">
        <w:rPr>
          <w:szCs w:val="22"/>
        </w:rPr>
        <w:t xml:space="preserve"> gross energy output.</w:t>
      </w:r>
    </w:p>
    <w:p w:rsidR="00BB64FF" w:rsidRPr="00BB64FF" w:rsidRDefault="00BB64FF" w:rsidP="00BB64FF">
      <w:pPr>
        <w:spacing w:after="40"/>
        <w:ind w:left="20"/>
        <w:rPr>
          <w:szCs w:val="22"/>
        </w:rPr>
      </w:pPr>
      <w:r w:rsidRPr="00BB64FF">
        <w:rPr>
          <w:szCs w:val="22"/>
        </w:rPr>
        <w:t>(2) For an affected facility which commenced reconstruction, any gases that contain NOX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130 </w:t>
      </w:r>
      <w:proofErr w:type="spellStart"/>
      <w:r w:rsidRPr="00BB64FF">
        <w:rPr>
          <w:szCs w:val="22"/>
        </w:rPr>
        <w:t>ng</w:t>
      </w:r>
      <w:proofErr w:type="spellEnd"/>
      <w:r w:rsidRPr="00BB64FF">
        <w:rPr>
          <w:szCs w:val="22"/>
        </w:rPr>
        <w:t>/J (1.0 lb/MWh) gross energy output; or</w:t>
      </w:r>
    </w:p>
    <w:p w:rsidR="00BB64FF" w:rsidRPr="00BB64FF" w:rsidRDefault="00BB64FF" w:rsidP="00BB64FF">
      <w:pPr>
        <w:spacing w:after="40"/>
        <w:ind w:left="20"/>
        <w:rPr>
          <w:szCs w:val="22"/>
        </w:rPr>
      </w:pPr>
      <w:r w:rsidRPr="00BB64FF">
        <w:rPr>
          <w:szCs w:val="22"/>
        </w:rPr>
        <w:t xml:space="preserve">(ii) 47 </w:t>
      </w:r>
      <w:proofErr w:type="spellStart"/>
      <w:r w:rsidRPr="00BB64FF">
        <w:rPr>
          <w:szCs w:val="22"/>
        </w:rPr>
        <w:t>ng</w:t>
      </w:r>
      <w:proofErr w:type="spellEnd"/>
      <w:r w:rsidRPr="00BB64FF">
        <w:rPr>
          <w:szCs w:val="22"/>
        </w:rPr>
        <w:t>/J (0.11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(3) For an affected facility which commenced modification, any gases that contain NOX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180 </w:t>
      </w:r>
      <w:proofErr w:type="spellStart"/>
      <w:r w:rsidRPr="00BB64FF">
        <w:rPr>
          <w:szCs w:val="22"/>
        </w:rPr>
        <w:t>ng</w:t>
      </w:r>
      <w:proofErr w:type="spellEnd"/>
      <w:r w:rsidRPr="00BB64FF">
        <w:rPr>
          <w:szCs w:val="22"/>
        </w:rPr>
        <w:t>/J (1.4 lb/MWh) gross energy output; or</w:t>
      </w:r>
    </w:p>
    <w:p w:rsidR="00BB64FF" w:rsidRPr="00BB64FF" w:rsidRDefault="00BB64FF" w:rsidP="00BB64FF">
      <w:pPr>
        <w:spacing w:after="40"/>
        <w:ind w:left="20"/>
        <w:rPr>
          <w:szCs w:val="22"/>
        </w:rPr>
      </w:pPr>
      <w:r w:rsidRPr="00BB64FF">
        <w:rPr>
          <w:szCs w:val="22"/>
        </w:rPr>
        <w:t xml:space="preserve">(ii) 65 </w:t>
      </w:r>
      <w:proofErr w:type="spellStart"/>
      <w:r w:rsidRPr="00BB64FF">
        <w:rPr>
          <w:szCs w:val="22"/>
        </w:rPr>
        <w:t>ng</w:t>
      </w:r>
      <w:proofErr w:type="spellEnd"/>
      <w:r w:rsidRPr="00BB64FF">
        <w:rPr>
          <w:szCs w:val="22"/>
        </w:rPr>
        <w:t>/J (0.15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(f) On and after the date on which the initial performance test is completed or required to be completed under § 60.8, whichever date comes first, the owner or operator of an IGCC electric utility steam generating unit subject to the provisions of this subpart and for which construction, reconstruction, or modification commenced after February 28, 2005 but before May 4, 2011, shall meet the requirements specified in paragraphs (f</w:t>
      </w:r>
      <w:proofErr w:type="gramStart"/>
      <w:r w:rsidRPr="00BB64FF">
        <w:rPr>
          <w:szCs w:val="22"/>
        </w:rPr>
        <w:t>)(</w:t>
      </w:r>
      <w:proofErr w:type="gramEnd"/>
      <w:r w:rsidRPr="00BB64FF">
        <w:rPr>
          <w:szCs w:val="22"/>
        </w:rPr>
        <w:t>1) through (3) of this section.</w:t>
      </w:r>
    </w:p>
    <w:p w:rsidR="00BB64FF" w:rsidRPr="00BB64FF" w:rsidRDefault="00BB64FF" w:rsidP="00BB64FF">
      <w:pPr>
        <w:spacing w:after="40"/>
        <w:ind w:left="20"/>
        <w:rPr>
          <w:szCs w:val="22"/>
        </w:rPr>
      </w:pPr>
      <w:r w:rsidRPr="00BB64FF">
        <w:rPr>
          <w:szCs w:val="22"/>
        </w:rPr>
        <w:t>(1) Except as provided for in paragraphs (f)(2) and (3) of this section, the owner or operator shall not cause to be discharged into the atmosphere any gases that contain NOX (expressed as NO</w:t>
      </w:r>
      <w:r w:rsidRPr="00F4004E">
        <w:rPr>
          <w:szCs w:val="22"/>
          <w:vertAlign w:val="subscript"/>
        </w:rPr>
        <w:t>2</w:t>
      </w:r>
      <w:r w:rsidRPr="00BB64FF">
        <w:rPr>
          <w:szCs w:val="22"/>
        </w:rPr>
        <w:t xml:space="preserve">) in excess of 130 </w:t>
      </w:r>
      <w:proofErr w:type="spellStart"/>
      <w:r w:rsidRPr="00BB64FF">
        <w:rPr>
          <w:szCs w:val="22"/>
        </w:rPr>
        <w:t>ng</w:t>
      </w:r>
      <w:proofErr w:type="spellEnd"/>
      <w:r w:rsidRPr="00BB64FF">
        <w:rPr>
          <w:szCs w:val="22"/>
        </w:rPr>
        <w:t>/J (1.0 lb/</w:t>
      </w:r>
      <w:proofErr w:type="spellStart"/>
      <w:r w:rsidRPr="00BB64FF">
        <w:rPr>
          <w:szCs w:val="22"/>
        </w:rPr>
        <w:t>MWh</w:t>
      </w:r>
      <w:proofErr w:type="spellEnd"/>
      <w:r w:rsidRPr="00BB64FF">
        <w:rPr>
          <w:szCs w:val="22"/>
        </w:rPr>
        <w:t>) gross energy output.</w:t>
      </w:r>
    </w:p>
    <w:p w:rsidR="00BB64FF" w:rsidRPr="00BB64FF" w:rsidRDefault="00BB64FF" w:rsidP="00BB64FF">
      <w:pPr>
        <w:spacing w:after="40"/>
        <w:ind w:left="20"/>
        <w:rPr>
          <w:szCs w:val="22"/>
        </w:rPr>
      </w:pPr>
      <w:r w:rsidRPr="00BB64FF">
        <w:rPr>
          <w:szCs w:val="22"/>
        </w:rPr>
        <w:t>(2) When burning liquid fuel exclusively or in combination with solid-derived fuel such that the liquid fuel contributes 50 percent or more of the total heat input to the combined cycle combustion turbine, the owner or operator shall not cause to be discharged into the atmosphere any gases that contain NOX (expressed as NO</w:t>
      </w:r>
      <w:r w:rsidRPr="00F4004E">
        <w:rPr>
          <w:szCs w:val="22"/>
          <w:vertAlign w:val="subscript"/>
        </w:rPr>
        <w:t>2</w:t>
      </w:r>
      <w:r w:rsidRPr="00BB64FF">
        <w:rPr>
          <w:szCs w:val="22"/>
        </w:rPr>
        <w:t xml:space="preserve">) in excess of 190 </w:t>
      </w:r>
      <w:proofErr w:type="spellStart"/>
      <w:r w:rsidRPr="00BB64FF">
        <w:rPr>
          <w:szCs w:val="22"/>
        </w:rPr>
        <w:t>ng</w:t>
      </w:r>
      <w:proofErr w:type="spellEnd"/>
      <w:r w:rsidRPr="00BB64FF">
        <w:rPr>
          <w:szCs w:val="22"/>
        </w:rPr>
        <w:t>/J (1.5 lb/</w:t>
      </w:r>
      <w:proofErr w:type="spellStart"/>
      <w:r w:rsidRPr="00BB64FF">
        <w:rPr>
          <w:szCs w:val="22"/>
        </w:rPr>
        <w:t>MWh</w:t>
      </w:r>
      <w:proofErr w:type="spellEnd"/>
      <w:r w:rsidRPr="00BB64FF">
        <w:rPr>
          <w:szCs w:val="22"/>
        </w:rPr>
        <w:t>) gross energy output.</w:t>
      </w:r>
    </w:p>
    <w:p w:rsidR="00BB64FF" w:rsidRPr="00BB64FF" w:rsidRDefault="00BB64FF" w:rsidP="00BB64FF">
      <w:pPr>
        <w:spacing w:after="40"/>
        <w:ind w:left="20"/>
        <w:rPr>
          <w:szCs w:val="22"/>
        </w:rPr>
      </w:pPr>
      <w:r w:rsidRPr="00BB64FF">
        <w:rPr>
          <w:szCs w:val="22"/>
        </w:rPr>
        <w:t>(3) In cases when during a 30-boiler operating day rolling average compliance period liquid fuel is burned in such a manner to meet the conditions in paragraph (f)(2) of this section for only a portion of the clock hours in the 30-day compliance period, the owner or operator shall not cause to be discharged into the atmosphere any gases that contain NOX (expressed as NO</w:t>
      </w:r>
      <w:r w:rsidRPr="00F4004E">
        <w:rPr>
          <w:szCs w:val="22"/>
          <w:vertAlign w:val="subscript"/>
        </w:rPr>
        <w:t>2</w:t>
      </w:r>
      <w:r w:rsidRPr="00BB64FF">
        <w:rPr>
          <w:szCs w:val="22"/>
        </w:rPr>
        <w:t>) in excess of the computed weighted-average emissions limit based on the proportion of gross energy output (in MWh) generated during the compliance period for each of emissions limits in paragraphs (f)(1) and (2) of this section.</w:t>
      </w:r>
    </w:p>
    <w:p w:rsidR="00BB64FF" w:rsidRPr="00BB64FF" w:rsidRDefault="00BB64FF" w:rsidP="00BB64FF">
      <w:pPr>
        <w:spacing w:after="40"/>
        <w:ind w:left="20"/>
        <w:rPr>
          <w:szCs w:val="22"/>
        </w:rPr>
      </w:pPr>
      <w:r w:rsidRPr="00BB64FF">
        <w:rPr>
          <w:szCs w:val="22"/>
        </w:rPr>
        <w:t>(g) Except as provided in paragraphs (h) of this section and § 60.45Da, on and after the date on which the initial performance test is completed or required to be completed under § 60.8, whichever date comes first, no owner or operator of an affected facility that commenced construction, reconstruction, or modification after May 3, 2011, shall cause to be discharged into the atmosphere from that affected facility any gases that contain NOX (expressed as NO</w:t>
      </w:r>
      <w:r w:rsidRPr="00F4004E">
        <w:rPr>
          <w:szCs w:val="22"/>
          <w:vertAlign w:val="subscript"/>
        </w:rPr>
        <w:t>2</w:t>
      </w:r>
      <w:r w:rsidRPr="00BB64FF">
        <w:rPr>
          <w:szCs w:val="22"/>
        </w:rPr>
        <w:t>) in excess of the applicable emissions limit specified in paragraphs (g)(1) through (3) of this section.</w:t>
      </w:r>
    </w:p>
    <w:p w:rsidR="00BB64FF" w:rsidRPr="00BB64FF" w:rsidRDefault="00BB64FF" w:rsidP="00BB64FF">
      <w:pPr>
        <w:spacing w:after="40"/>
        <w:ind w:left="20"/>
        <w:rPr>
          <w:szCs w:val="22"/>
        </w:rPr>
      </w:pPr>
      <w:r w:rsidRPr="00BB64FF">
        <w:rPr>
          <w:szCs w:val="22"/>
        </w:rPr>
        <w:t>(1) For an affected facility which commenced construction or reconstruction, any gases that contain NOX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88 </w:t>
      </w:r>
      <w:proofErr w:type="spellStart"/>
      <w:r w:rsidRPr="00BB64FF">
        <w:rPr>
          <w:szCs w:val="22"/>
        </w:rPr>
        <w:t>ng</w:t>
      </w:r>
      <w:proofErr w:type="spellEnd"/>
      <w:r w:rsidRPr="00BB64FF">
        <w:rPr>
          <w:szCs w:val="22"/>
        </w:rPr>
        <w:t>/J (0.70 lb/MWh) gross energy output; or</w:t>
      </w:r>
    </w:p>
    <w:p w:rsidR="00BB64FF" w:rsidRPr="00BB64FF" w:rsidRDefault="00BB64FF" w:rsidP="00BB64FF">
      <w:pPr>
        <w:spacing w:after="40"/>
        <w:ind w:left="20"/>
        <w:rPr>
          <w:szCs w:val="22"/>
        </w:rPr>
      </w:pPr>
      <w:r w:rsidRPr="00BB64FF">
        <w:rPr>
          <w:szCs w:val="22"/>
        </w:rPr>
        <w:t xml:space="preserve">(ii) 95 </w:t>
      </w:r>
      <w:proofErr w:type="spellStart"/>
      <w:r w:rsidRPr="00BB64FF">
        <w:rPr>
          <w:szCs w:val="22"/>
        </w:rPr>
        <w:t>ng</w:t>
      </w:r>
      <w:proofErr w:type="spellEnd"/>
      <w:r w:rsidRPr="00BB64FF">
        <w:rPr>
          <w:szCs w:val="22"/>
        </w:rPr>
        <w:t>/J (0.76 lb/</w:t>
      </w:r>
      <w:proofErr w:type="spellStart"/>
      <w:r w:rsidRPr="00BB64FF">
        <w:rPr>
          <w:szCs w:val="22"/>
        </w:rPr>
        <w:t>MWh</w:t>
      </w:r>
      <w:proofErr w:type="spellEnd"/>
      <w:r w:rsidRPr="00BB64FF">
        <w:rPr>
          <w:szCs w:val="22"/>
        </w:rPr>
        <w:t>) net energy output.</w:t>
      </w:r>
    </w:p>
    <w:p w:rsidR="00BB64FF" w:rsidRPr="00BB64FF" w:rsidRDefault="00BB64FF" w:rsidP="00BB64FF">
      <w:pPr>
        <w:spacing w:after="40"/>
        <w:ind w:left="20"/>
        <w:rPr>
          <w:szCs w:val="22"/>
        </w:rPr>
      </w:pPr>
      <w:r w:rsidRPr="00BB64FF">
        <w:rPr>
          <w:szCs w:val="22"/>
        </w:rPr>
        <w:t>(2) For an affected facility which commenced construction or reconstruction and that burns 75 percent or more coal refuse (by heat input) on a 12-month rolling average basis, any gases that contain NOX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110 </w:t>
      </w:r>
      <w:proofErr w:type="spellStart"/>
      <w:r w:rsidRPr="00BB64FF">
        <w:rPr>
          <w:szCs w:val="22"/>
        </w:rPr>
        <w:t>ng</w:t>
      </w:r>
      <w:proofErr w:type="spellEnd"/>
      <w:r w:rsidRPr="00BB64FF">
        <w:rPr>
          <w:szCs w:val="22"/>
        </w:rPr>
        <w:t>/J (0.85 lb/MWh) gross energy output; or</w:t>
      </w:r>
    </w:p>
    <w:p w:rsidR="00BB64FF" w:rsidRPr="00BB64FF" w:rsidRDefault="00BB64FF" w:rsidP="00BB64FF">
      <w:pPr>
        <w:spacing w:after="40"/>
        <w:ind w:left="20"/>
        <w:rPr>
          <w:szCs w:val="22"/>
        </w:rPr>
      </w:pPr>
      <w:r w:rsidRPr="00BB64FF">
        <w:rPr>
          <w:szCs w:val="22"/>
        </w:rPr>
        <w:t xml:space="preserve">(ii) 120 </w:t>
      </w:r>
      <w:proofErr w:type="spellStart"/>
      <w:r w:rsidRPr="00BB64FF">
        <w:rPr>
          <w:szCs w:val="22"/>
        </w:rPr>
        <w:t>ng</w:t>
      </w:r>
      <w:proofErr w:type="spellEnd"/>
      <w:r w:rsidRPr="00BB64FF">
        <w:rPr>
          <w:szCs w:val="22"/>
        </w:rPr>
        <w:t>/J (0.92 lb/</w:t>
      </w:r>
      <w:proofErr w:type="spellStart"/>
      <w:r w:rsidRPr="00BB64FF">
        <w:rPr>
          <w:szCs w:val="22"/>
        </w:rPr>
        <w:t>MWh</w:t>
      </w:r>
      <w:proofErr w:type="spellEnd"/>
      <w:r w:rsidRPr="00BB64FF">
        <w:rPr>
          <w:szCs w:val="22"/>
        </w:rPr>
        <w:t>) net energy output.</w:t>
      </w:r>
    </w:p>
    <w:p w:rsidR="00BB64FF" w:rsidRPr="00BB64FF" w:rsidRDefault="00BB64FF" w:rsidP="00BB64FF">
      <w:pPr>
        <w:spacing w:after="40"/>
        <w:ind w:left="20"/>
        <w:rPr>
          <w:szCs w:val="22"/>
        </w:rPr>
      </w:pPr>
      <w:r w:rsidRPr="00BB64FF">
        <w:rPr>
          <w:szCs w:val="22"/>
        </w:rPr>
        <w:lastRenderedPageBreak/>
        <w:t xml:space="preserve">(3) For an affected facility which commenced modification, any gases that contain NOX </w:t>
      </w:r>
      <w:proofErr w:type="gramStart"/>
      <w:r w:rsidRPr="00BB64FF">
        <w:rPr>
          <w:szCs w:val="22"/>
        </w:rPr>
        <w:t xml:space="preserve">in excess of 140 </w:t>
      </w:r>
      <w:proofErr w:type="spellStart"/>
      <w:r w:rsidRPr="00BB64FF">
        <w:rPr>
          <w:szCs w:val="22"/>
        </w:rPr>
        <w:t>ng</w:t>
      </w:r>
      <w:proofErr w:type="spellEnd"/>
      <w:r w:rsidRPr="00BB64FF">
        <w:rPr>
          <w:szCs w:val="22"/>
        </w:rPr>
        <w:t>/J (1.1 lb/</w:t>
      </w:r>
      <w:proofErr w:type="spellStart"/>
      <w:r w:rsidRPr="00BB64FF">
        <w:rPr>
          <w:szCs w:val="22"/>
        </w:rPr>
        <w:t>MWh</w:t>
      </w:r>
      <w:proofErr w:type="spellEnd"/>
      <w:r w:rsidRPr="00BB64FF">
        <w:rPr>
          <w:szCs w:val="22"/>
        </w:rPr>
        <w:t>)</w:t>
      </w:r>
      <w:proofErr w:type="gramEnd"/>
      <w:r w:rsidRPr="00BB64FF">
        <w:rPr>
          <w:szCs w:val="22"/>
        </w:rPr>
        <w:t xml:space="preserve"> gross energy output.</w:t>
      </w:r>
    </w:p>
    <w:p w:rsidR="00BB64FF" w:rsidRPr="00BB64FF" w:rsidRDefault="00BB64FF" w:rsidP="00BB64FF">
      <w:pPr>
        <w:spacing w:after="40"/>
        <w:ind w:left="20"/>
        <w:rPr>
          <w:szCs w:val="22"/>
        </w:rPr>
      </w:pPr>
      <w:r w:rsidRPr="00BB64FF">
        <w:rPr>
          <w:szCs w:val="22"/>
        </w:rPr>
        <w:t>(h) The NOX emissions limits under this section do not apply to an owner or operator of an affected facility which is operating under a commercial demonstration permit issued by the Administrator in accordance with the provisions of § 60.47Da.</w:t>
      </w:r>
    </w:p>
    <w:p w:rsidR="00BB64FF" w:rsidRPr="00BB64FF" w:rsidRDefault="00BB64FF" w:rsidP="00BB64FF">
      <w:pPr>
        <w:spacing w:after="40"/>
        <w:ind w:left="20"/>
        <w:rPr>
          <w:szCs w:val="22"/>
        </w:rPr>
      </w:pPr>
      <w:r w:rsidRPr="00BB64FF">
        <w:rPr>
          <w:szCs w:val="22"/>
        </w:rPr>
        <w:t>[77 FR 9451, Feb. 16, 2012]</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 60.45Da   Alternative standards for combined nitrogen oxides (</w:t>
      </w:r>
      <w:proofErr w:type="gramStart"/>
      <w:r w:rsidRPr="00BB64FF">
        <w:rPr>
          <w:szCs w:val="22"/>
        </w:rPr>
        <w:t>NOX )</w:t>
      </w:r>
      <w:proofErr w:type="gramEnd"/>
      <w:r w:rsidRPr="00BB64FF">
        <w:rPr>
          <w:szCs w:val="22"/>
        </w:rPr>
        <w:t xml:space="preserve"> and carbon monoxide (CO).</w:t>
      </w:r>
    </w:p>
    <w:p w:rsidR="00BB64FF" w:rsidRPr="00BB64FF" w:rsidRDefault="00BB64FF" w:rsidP="00BB64FF">
      <w:pPr>
        <w:spacing w:after="40"/>
        <w:ind w:left="20"/>
        <w:rPr>
          <w:szCs w:val="22"/>
        </w:rPr>
      </w:pPr>
      <w:r w:rsidRPr="00BB64FF">
        <w:rPr>
          <w:szCs w:val="22"/>
        </w:rPr>
        <w:t>(a) The owner or operator of an affected facility that commenced construction, reconstruction, or modification after May 3, 2011 as alternate to meeting the applicable NOX emissions limits specified in § 60.44Da may elect to meet the applicable standards for combined NOX and CO specified in paragraph (b) of this section.</w:t>
      </w:r>
    </w:p>
    <w:p w:rsidR="00BB64FF" w:rsidRPr="00BB64FF" w:rsidRDefault="00BB64FF" w:rsidP="00BB64FF">
      <w:pPr>
        <w:spacing w:after="40"/>
        <w:ind w:left="20"/>
        <w:rPr>
          <w:szCs w:val="22"/>
        </w:rPr>
      </w:pPr>
      <w:r w:rsidRPr="00BB64FF">
        <w:rPr>
          <w:szCs w:val="22"/>
        </w:rPr>
        <w:t>(b) On and after the date on which the initial performance test is completed or required to be completed under § 60.8 no owner or operator of an affected facility that commenced construction, reconstruction, or modification after May 3, 2011, shall cause to be discharged into the atmosphere from that affected facility any gases that contain NOX (expressed as NO</w:t>
      </w:r>
      <w:r w:rsidRPr="00F4004E">
        <w:rPr>
          <w:szCs w:val="22"/>
          <w:vertAlign w:val="subscript"/>
        </w:rPr>
        <w:t>2</w:t>
      </w:r>
      <w:r w:rsidRPr="00BB64FF">
        <w:rPr>
          <w:szCs w:val="22"/>
        </w:rPr>
        <w:t>) plus CO in excess of the applicable emissions limit specified in paragraphs (b)(1) through (3) of this section as determined on a 30-boiler operating day rolling average basis.</w:t>
      </w:r>
    </w:p>
    <w:p w:rsidR="00BB64FF" w:rsidRPr="00BB64FF" w:rsidRDefault="00BB64FF" w:rsidP="00BB64FF">
      <w:pPr>
        <w:spacing w:after="40"/>
        <w:ind w:left="20"/>
        <w:rPr>
          <w:szCs w:val="22"/>
        </w:rPr>
      </w:pPr>
      <w:r w:rsidRPr="00BB64FF">
        <w:rPr>
          <w:szCs w:val="22"/>
        </w:rPr>
        <w:t>(1) For an affected facility which commenced construction or reconstruction, any gases that contain NOX plus CO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140 </w:t>
      </w:r>
      <w:proofErr w:type="spellStart"/>
      <w:r w:rsidRPr="00BB64FF">
        <w:rPr>
          <w:szCs w:val="22"/>
        </w:rPr>
        <w:t>ng</w:t>
      </w:r>
      <w:proofErr w:type="spellEnd"/>
      <w:r w:rsidRPr="00BB64FF">
        <w:rPr>
          <w:szCs w:val="22"/>
        </w:rPr>
        <w:t>/J (1.1 lb/MWh) gross energy output; or</w:t>
      </w:r>
    </w:p>
    <w:p w:rsidR="00BB64FF" w:rsidRPr="00BB64FF" w:rsidRDefault="00BB64FF" w:rsidP="00BB64FF">
      <w:pPr>
        <w:spacing w:after="40"/>
        <w:ind w:left="20"/>
        <w:rPr>
          <w:szCs w:val="22"/>
        </w:rPr>
      </w:pPr>
      <w:r w:rsidRPr="00BB64FF">
        <w:rPr>
          <w:szCs w:val="22"/>
        </w:rPr>
        <w:t xml:space="preserve">(ii) 150 </w:t>
      </w:r>
      <w:proofErr w:type="spellStart"/>
      <w:r w:rsidRPr="00BB64FF">
        <w:rPr>
          <w:szCs w:val="22"/>
        </w:rPr>
        <w:t>ng</w:t>
      </w:r>
      <w:proofErr w:type="spellEnd"/>
      <w:r w:rsidRPr="00BB64FF">
        <w:rPr>
          <w:szCs w:val="22"/>
        </w:rPr>
        <w:t xml:space="preserve">/J </w:t>
      </w:r>
      <w:proofErr w:type="gramStart"/>
      <w:r w:rsidRPr="00BB64FF">
        <w:rPr>
          <w:szCs w:val="22"/>
        </w:rPr>
        <w:t>(1.2 lb/</w:t>
      </w:r>
      <w:proofErr w:type="spellStart"/>
      <w:r w:rsidRPr="00BB64FF">
        <w:rPr>
          <w:szCs w:val="22"/>
        </w:rPr>
        <w:t>MWh</w:t>
      </w:r>
      <w:proofErr w:type="spellEnd"/>
      <w:r w:rsidRPr="00BB64FF">
        <w:rPr>
          <w:szCs w:val="22"/>
        </w:rPr>
        <w:t>)</w:t>
      </w:r>
      <w:proofErr w:type="gramEnd"/>
      <w:r w:rsidRPr="00BB64FF">
        <w:rPr>
          <w:szCs w:val="22"/>
        </w:rPr>
        <w:t xml:space="preserve"> net energy output.</w:t>
      </w:r>
    </w:p>
    <w:p w:rsidR="00BB64FF" w:rsidRPr="00BB64FF" w:rsidRDefault="00BB64FF" w:rsidP="00BB64FF">
      <w:pPr>
        <w:spacing w:after="40"/>
        <w:ind w:left="20"/>
        <w:rPr>
          <w:szCs w:val="22"/>
        </w:rPr>
      </w:pPr>
      <w:r w:rsidRPr="00BB64FF">
        <w:rPr>
          <w:szCs w:val="22"/>
        </w:rPr>
        <w:t>(2) For an affected facility which commenced construction or reconstruction and that burns 75 percent or more coal refuse (by heat input) on a 12-month rolling average basis, any gases that contain NOX plus CO in excess of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160 </w:t>
      </w:r>
      <w:proofErr w:type="spellStart"/>
      <w:r w:rsidRPr="00BB64FF">
        <w:rPr>
          <w:szCs w:val="22"/>
        </w:rPr>
        <w:t>ng</w:t>
      </w:r>
      <w:proofErr w:type="spellEnd"/>
      <w:r w:rsidRPr="00BB64FF">
        <w:rPr>
          <w:szCs w:val="22"/>
        </w:rPr>
        <w:t>/J (1.3 lb/MWh) gross energy output; or</w:t>
      </w:r>
    </w:p>
    <w:p w:rsidR="00BB64FF" w:rsidRPr="00BB64FF" w:rsidRDefault="00BB64FF" w:rsidP="00BB64FF">
      <w:pPr>
        <w:spacing w:after="40"/>
        <w:ind w:left="20"/>
        <w:rPr>
          <w:szCs w:val="22"/>
        </w:rPr>
      </w:pPr>
      <w:r w:rsidRPr="00BB64FF">
        <w:rPr>
          <w:szCs w:val="22"/>
        </w:rPr>
        <w:t xml:space="preserve">(ii) 170 </w:t>
      </w:r>
      <w:proofErr w:type="spellStart"/>
      <w:r w:rsidRPr="00BB64FF">
        <w:rPr>
          <w:szCs w:val="22"/>
        </w:rPr>
        <w:t>ng</w:t>
      </w:r>
      <w:proofErr w:type="spellEnd"/>
      <w:r w:rsidRPr="00BB64FF">
        <w:rPr>
          <w:szCs w:val="22"/>
        </w:rPr>
        <w:t xml:space="preserve">/J </w:t>
      </w:r>
      <w:proofErr w:type="gramStart"/>
      <w:r w:rsidRPr="00BB64FF">
        <w:rPr>
          <w:szCs w:val="22"/>
        </w:rPr>
        <w:t>(1.4 lb/</w:t>
      </w:r>
      <w:proofErr w:type="spellStart"/>
      <w:r w:rsidRPr="00BB64FF">
        <w:rPr>
          <w:szCs w:val="22"/>
        </w:rPr>
        <w:t>MWh</w:t>
      </w:r>
      <w:proofErr w:type="spellEnd"/>
      <w:r w:rsidRPr="00BB64FF">
        <w:rPr>
          <w:szCs w:val="22"/>
        </w:rPr>
        <w:t>)</w:t>
      </w:r>
      <w:proofErr w:type="gramEnd"/>
      <w:r w:rsidRPr="00BB64FF">
        <w:rPr>
          <w:szCs w:val="22"/>
        </w:rPr>
        <w:t xml:space="preserve"> net energy output.</w:t>
      </w:r>
    </w:p>
    <w:p w:rsidR="00BB64FF" w:rsidRPr="00BB64FF" w:rsidRDefault="00BB64FF" w:rsidP="00BB64FF">
      <w:pPr>
        <w:spacing w:after="40"/>
        <w:ind w:left="20"/>
        <w:rPr>
          <w:szCs w:val="22"/>
        </w:rPr>
      </w:pPr>
      <w:r w:rsidRPr="00BB64FF">
        <w:rPr>
          <w:szCs w:val="22"/>
        </w:rPr>
        <w:t xml:space="preserve">(3) For an affected facility which commenced modification, any gases that contain NOX plus CO </w:t>
      </w:r>
      <w:proofErr w:type="gramStart"/>
      <w:r w:rsidRPr="00BB64FF">
        <w:rPr>
          <w:szCs w:val="22"/>
        </w:rPr>
        <w:t xml:space="preserve">in excess of 190 </w:t>
      </w:r>
      <w:proofErr w:type="spellStart"/>
      <w:r w:rsidRPr="00BB64FF">
        <w:rPr>
          <w:szCs w:val="22"/>
        </w:rPr>
        <w:t>ng</w:t>
      </w:r>
      <w:proofErr w:type="spellEnd"/>
      <w:r w:rsidRPr="00BB64FF">
        <w:rPr>
          <w:szCs w:val="22"/>
        </w:rPr>
        <w:t>/J (1.5 lb/</w:t>
      </w:r>
      <w:proofErr w:type="spellStart"/>
      <w:r w:rsidRPr="00BB64FF">
        <w:rPr>
          <w:szCs w:val="22"/>
        </w:rPr>
        <w:t>MWh</w:t>
      </w:r>
      <w:proofErr w:type="spellEnd"/>
      <w:r w:rsidRPr="00BB64FF">
        <w:rPr>
          <w:szCs w:val="22"/>
        </w:rPr>
        <w:t>)</w:t>
      </w:r>
      <w:proofErr w:type="gramEnd"/>
      <w:r w:rsidRPr="00BB64FF">
        <w:rPr>
          <w:szCs w:val="22"/>
        </w:rPr>
        <w:t xml:space="preserve"> gross energy output.</w:t>
      </w:r>
    </w:p>
    <w:p w:rsidR="00BB64FF" w:rsidRPr="00BB64FF" w:rsidRDefault="00451631" w:rsidP="00BB64FF">
      <w:pPr>
        <w:spacing w:after="40"/>
        <w:ind w:left="20"/>
        <w:rPr>
          <w:szCs w:val="22"/>
        </w:rPr>
      </w:pPr>
      <w:r w:rsidRPr="00BB64FF">
        <w:rPr>
          <w:szCs w:val="22"/>
        </w:rPr>
        <w:t xml:space="preserve"> </w:t>
      </w:r>
      <w:r w:rsidR="00BB64FF" w:rsidRPr="00BB64FF">
        <w:rPr>
          <w:szCs w:val="22"/>
        </w:rPr>
        <w:t>[77 FR 9453, Feb. 16, 2012]</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 60.46Da   [Reserved]</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60.47Da   Commercial demonstration permit.</w:t>
      </w:r>
      <w:proofErr w:type="gramEnd"/>
    </w:p>
    <w:p w:rsidR="00BB64FF" w:rsidRPr="00BB64FF" w:rsidRDefault="00BB64FF" w:rsidP="00BB64FF">
      <w:pPr>
        <w:spacing w:after="40"/>
        <w:ind w:left="20"/>
        <w:rPr>
          <w:szCs w:val="22"/>
        </w:rPr>
      </w:pPr>
      <w:r w:rsidRPr="00BB64FF">
        <w:rPr>
          <w:szCs w:val="22"/>
        </w:rPr>
        <w:t>(a) An owner or operator of an affected facility proposing to demonstrate an emerging technology may apply to the Administrator for a commercial demonstration permit. The Administrator will issue a commercial demonstration permit in accordance with paragraph (e) of this section. Commercial demonstration permits may be issued only by the Administrator, and this authority will not be delegated.</w:t>
      </w:r>
    </w:p>
    <w:p w:rsidR="00BB64FF" w:rsidRPr="00BB64FF" w:rsidRDefault="00BB64FF" w:rsidP="00BB64FF">
      <w:pPr>
        <w:spacing w:after="40"/>
        <w:ind w:left="20"/>
        <w:rPr>
          <w:szCs w:val="22"/>
        </w:rPr>
      </w:pPr>
      <w:r w:rsidRPr="00BB64FF">
        <w:rPr>
          <w:szCs w:val="22"/>
        </w:rPr>
        <w:t>(b) An owner or operator of an affected facility that combusts solid solvent refined coal (SRC-I) and who is issued a commercial demonstration permit by the Administrator is not subject to the SO</w:t>
      </w:r>
      <w:r w:rsidRPr="00F4004E">
        <w:rPr>
          <w:szCs w:val="22"/>
          <w:vertAlign w:val="subscript"/>
        </w:rPr>
        <w:t>2</w:t>
      </w:r>
      <w:r w:rsidRPr="00BB64FF">
        <w:rPr>
          <w:szCs w:val="22"/>
        </w:rPr>
        <w:t xml:space="preserve"> emission reduction requirements under § 60.43Da(c) but must, as a minimum, reduce SO</w:t>
      </w:r>
      <w:r w:rsidRPr="00F4004E">
        <w:rPr>
          <w:szCs w:val="22"/>
          <w:vertAlign w:val="subscript"/>
        </w:rPr>
        <w:t xml:space="preserve">2 </w:t>
      </w:r>
      <w:r w:rsidRPr="00BB64FF">
        <w:rPr>
          <w:szCs w:val="22"/>
        </w:rPr>
        <w:t xml:space="preserve">emissions to 20 percent of the potential combustion concentration (80 percent reduction) for each 24-hour period of steam generator operation and to less than 520 </w:t>
      </w:r>
      <w:proofErr w:type="spellStart"/>
      <w:r w:rsidRPr="00BB64FF">
        <w:rPr>
          <w:szCs w:val="22"/>
        </w:rPr>
        <w:t>ng</w:t>
      </w:r>
      <w:proofErr w:type="spellEnd"/>
      <w:r w:rsidRPr="00BB64FF">
        <w:rPr>
          <w:szCs w:val="22"/>
        </w:rPr>
        <w:t>/J (1.20 lb/</w:t>
      </w:r>
      <w:proofErr w:type="spellStart"/>
      <w:r w:rsidRPr="00BB64FF">
        <w:rPr>
          <w:szCs w:val="22"/>
        </w:rPr>
        <w:t>MMBtu</w:t>
      </w:r>
      <w:proofErr w:type="spellEnd"/>
      <w:r w:rsidRPr="00BB64FF">
        <w:rPr>
          <w:szCs w:val="22"/>
        </w:rPr>
        <w:t>) heat input on a 30-day rolling average basis.</w:t>
      </w:r>
    </w:p>
    <w:p w:rsidR="00BB64FF" w:rsidRPr="00BB64FF" w:rsidRDefault="00BB64FF" w:rsidP="00BB64FF">
      <w:pPr>
        <w:spacing w:after="40"/>
        <w:ind w:left="20"/>
        <w:rPr>
          <w:szCs w:val="22"/>
        </w:rPr>
      </w:pPr>
      <w:r w:rsidRPr="00BB64FF">
        <w:rPr>
          <w:szCs w:val="22"/>
        </w:rPr>
        <w:t>(c) An owner or operator of an affected facility that uses fluidized bed combustion (atmospheric or pressurized) and who is issued a commercial demonstration permit by the Administrator is not subject to the SO</w:t>
      </w:r>
      <w:r w:rsidRPr="00F4004E">
        <w:rPr>
          <w:szCs w:val="22"/>
          <w:vertAlign w:val="subscript"/>
        </w:rPr>
        <w:t>2</w:t>
      </w:r>
      <w:r w:rsidRPr="00BB64FF">
        <w:rPr>
          <w:szCs w:val="22"/>
        </w:rPr>
        <w:t xml:space="preserve"> emission reduction requirements under § 60.43Da(a) but must, as a minimum, reduce SO</w:t>
      </w:r>
      <w:r w:rsidRPr="00F4004E">
        <w:rPr>
          <w:szCs w:val="22"/>
          <w:vertAlign w:val="subscript"/>
        </w:rPr>
        <w:t>2</w:t>
      </w:r>
      <w:r w:rsidRPr="00BB64FF">
        <w:rPr>
          <w:szCs w:val="22"/>
        </w:rPr>
        <w:t xml:space="preserve"> emissions to 15 percent of the </w:t>
      </w:r>
      <w:r w:rsidRPr="00BB64FF">
        <w:rPr>
          <w:szCs w:val="22"/>
        </w:rPr>
        <w:lastRenderedPageBreak/>
        <w:t xml:space="preserve">potential combustion concentration (85 percent reduction) on a 30-day rolling average basis and to less than 520 </w:t>
      </w:r>
      <w:proofErr w:type="spellStart"/>
      <w:r w:rsidRPr="00BB64FF">
        <w:rPr>
          <w:szCs w:val="22"/>
        </w:rPr>
        <w:t>ng</w:t>
      </w:r>
      <w:proofErr w:type="spellEnd"/>
      <w:r w:rsidRPr="00BB64FF">
        <w:rPr>
          <w:szCs w:val="22"/>
        </w:rPr>
        <w:t>/J (1.20 lb/</w:t>
      </w:r>
      <w:proofErr w:type="spellStart"/>
      <w:r w:rsidRPr="00BB64FF">
        <w:rPr>
          <w:szCs w:val="22"/>
        </w:rPr>
        <w:t>MMBtu</w:t>
      </w:r>
      <w:proofErr w:type="spellEnd"/>
      <w:r w:rsidRPr="00BB64FF">
        <w:rPr>
          <w:szCs w:val="22"/>
        </w:rPr>
        <w:t>) heat input on a 30-day rolling average basis.</w:t>
      </w:r>
    </w:p>
    <w:p w:rsidR="00BB64FF" w:rsidRPr="00BB64FF" w:rsidRDefault="00BB64FF" w:rsidP="00BB64FF">
      <w:pPr>
        <w:spacing w:after="40"/>
        <w:ind w:left="20"/>
        <w:rPr>
          <w:szCs w:val="22"/>
        </w:rPr>
      </w:pPr>
      <w:r w:rsidRPr="00BB64FF">
        <w:rPr>
          <w:szCs w:val="22"/>
        </w:rPr>
        <w:t xml:space="preserve">(d) The owner or operator of an affected facility that combusts coal-derived liquid fuel and who is issued a commercial demonstration permit by the Administrator is not subject to the applicable NOX emission limitation and percent reduction under § </w:t>
      </w:r>
      <w:proofErr w:type="gramStart"/>
      <w:r w:rsidRPr="00BB64FF">
        <w:rPr>
          <w:szCs w:val="22"/>
        </w:rPr>
        <w:t>60.44Da(</w:t>
      </w:r>
      <w:proofErr w:type="gramEnd"/>
      <w:r w:rsidRPr="00BB64FF">
        <w:rPr>
          <w:szCs w:val="22"/>
        </w:rPr>
        <w:t xml:space="preserve">a) but must, as a minimum, reduce emissions to less than 300 </w:t>
      </w:r>
      <w:proofErr w:type="spellStart"/>
      <w:r w:rsidRPr="00BB64FF">
        <w:rPr>
          <w:szCs w:val="22"/>
        </w:rPr>
        <w:t>ng</w:t>
      </w:r>
      <w:proofErr w:type="spellEnd"/>
      <w:r w:rsidRPr="00BB64FF">
        <w:rPr>
          <w:szCs w:val="22"/>
        </w:rPr>
        <w:t>/J (0.70 lb/</w:t>
      </w:r>
      <w:proofErr w:type="spellStart"/>
      <w:r w:rsidRPr="00BB64FF">
        <w:rPr>
          <w:szCs w:val="22"/>
        </w:rPr>
        <w:t>MMBtu</w:t>
      </w:r>
      <w:proofErr w:type="spellEnd"/>
      <w:r w:rsidRPr="00BB64FF">
        <w:rPr>
          <w:szCs w:val="22"/>
        </w:rPr>
        <w:t>) heat input on a 30-day rolling average basis.</w:t>
      </w:r>
    </w:p>
    <w:p w:rsidR="00BB64FF" w:rsidRPr="00BB64FF" w:rsidRDefault="00BB64FF" w:rsidP="00BB64FF">
      <w:pPr>
        <w:spacing w:after="40"/>
        <w:ind w:left="20"/>
        <w:rPr>
          <w:szCs w:val="22"/>
        </w:rPr>
      </w:pPr>
      <w:r w:rsidRPr="00BB64FF">
        <w:rPr>
          <w:szCs w:val="22"/>
        </w:rPr>
        <w:t xml:space="preserve">(e) Commercial demonstration permits may not exceed the following equivalent MW electrical generation capacity for any one technology </w:t>
      </w:r>
      <w:proofErr w:type="gramStart"/>
      <w:r w:rsidRPr="00BB64FF">
        <w:rPr>
          <w:szCs w:val="22"/>
        </w:rPr>
        <w:t>category,</w:t>
      </w:r>
      <w:proofErr w:type="gramEnd"/>
      <w:r w:rsidRPr="00BB64FF">
        <w:rPr>
          <w:szCs w:val="22"/>
        </w:rPr>
        <w:t xml:space="preserve"> and the total equivalent MW electrical generation capacity for all commercial demonstration plants may not exceed 15,000 MW.</w:t>
      </w:r>
    </w:p>
    <w:p w:rsidR="00BB64FF" w:rsidRPr="00BB64FF" w:rsidRDefault="00BB64FF" w:rsidP="00BB64FF">
      <w:pPr>
        <w:spacing w:after="40"/>
        <w:ind w:left="20"/>
        <w:rPr>
          <w:szCs w:val="22"/>
        </w:rPr>
      </w:pPr>
      <w:r w:rsidRPr="00BB64FF">
        <w:rPr>
          <w:szCs w:val="22"/>
        </w:rPr>
        <w:t>Technology Pollutant Equivalent electrical capacity</w:t>
      </w:r>
    </w:p>
    <w:p w:rsidR="00BB64FF" w:rsidRPr="00BB64FF" w:rsidRDefault="00BB64FF" w:rsidP="00BB64FF">
      <w:pPr>
        <w:spacing w:after="40"/>
        <w:ind w:left="20"/>
        <w:rPr>
          <w:szCs w:val="22"/>
        </w:rPr>
      </w:pPr>
      <w:r w:rsidRPr="00BB64FF">
        <w:rPr>
          <w:szCs w:val="22"/>
        </w:rPr>
        <w:t xml:space="preserve">(MW electrical output) </w:t>
      </w:r>
    </w:p>
    <w:p w:rsidR="00BB64FF" w:rsidRPr="00BB64FF" w:rsidRDefault="00BB64FF" w:rsidP="00BB64FF">
      <w:pPr>
        <w:spacing w:after="40"/>
        <w:ind w:left="20"/>
        <w:rPr>
          <w:szCs w:val="22"/>
        </w:rPr>
      </w:pPr>
      <w:r w:rsidRPr="00BB64FF">
        <w:rPr>
          <w:szCs w:val="22"/>
        </w:rPr>
        <w:t>Solid solvent refined coal (SCR I) SO</w:t>
      </w:r>
      <w:r w:rsidRPr="00F4004E">
        <w:rPr>
          <w:szCs w:val="22"/>
          <w:vertAlign w:val="subscript"/>
        </w:rPr>
        <w:t>2</w:t>
      </w:r>
      <w:r w:rsidRPr="00BB64FF">
        <w:rPr>
          <w:szCs w:val="22"/>
        </w:rPr>
        <w:t xml:space="preserve"> 6,000-10,000 </w:t>
      </w:r>
    </w:p>
    <w:p w:rsidR="00BB64FF" w:rsidRPr="00BB64FF" w:rsidRDefault="00BB64FF" w:rsidP="00BB64FF">
      <w:pPr>
        <w:spacing w:after="40"/>
        <w:ind w:left="20"/>
        <w:rPr>
          <w:szCs w:val="22"/>
        </w:rPr>
      </w:pPr>
      <w:r w:rsidRPr="00BB64FF">
        <w:rPr>
          <w:szCs w:val="22"/>
        </w:rPr>
        <w:t>Fluidized bed combustion (atmospheric) SO</w:t>
      </w:r>
      <w:r w:rsidRPr="00F4004E">
        <w:rPr>
          <w:szCs w:val="22"/>
          <w:vertAlign w:val="subscript"/>
        </w:rPr>
        <w:t>2</w:t>
      </w:r>
      <w:r w:rsidRPr="00BB64FF">
        <w:rPr>
          <w:szCs w:val="22"/>
        </w:rPr>
        <w:t xml:space="preserve"> 400-3,000 </w:t>
      </w:r>
    </w:p>
    <w:p w:rsidR="00BB64FF" w:rsidRPr="00BB64FF" w:rsidRDefault="00BB64FF" w:rsidP="00BB64FF">
      <w:pPr>
        <w:spacing w:after="40"/>
        <w:ind w:left="20"/>
        <w:rPr>
          <w:szCs w:val="22"/>
        </w:rPr>
      </w:pPr>
      <w:r w:rsidRPr="00BB64FF">
        <w:rPr>
          <w:szCs w:val="22"/>
        </w:rPr>
        <w:t>Fluidized bed combustion (pressurized) SO</w:t>
      </w:r>
      <w:r w:rsidRPr="00F4004E">
        <w:rPr>
          <w:szCs w:val="22"/>
          <w:vertAlign w:val="subscript"/>
        </w:rPr>
        <w:t>2</w:t>
      </w:r>
      <w:r w:rsidRPr="00BB64FF">
        <w:rPr>
          <w:szCs w:val="22"/>
        </w:rPr>
        <w:t xml:space="preserve"> 400-1,200 </w:t>
      </w:r>
    </w:p>
    <w:p w:rsidR="00BB64FF" w:rsidRPr="00BB64FF" w:rsidRDefault="00BB64FF" w:rsidP="00BB64FF">
      <w:pPr>
        <w:spacing w:after="40"/>
        <w:ind w:left="20"/>
        <w:rPr>
          <w:szCs w:val="22"/>
        </w:rPr>
      </w:pPr>
      <w:r w:rsidRPr="00BB64FF">
        <w:rPr>
          <w:szCs w:val="22"/>
        </w:rPr>
        <w:t xml:space="preserve">Coal </w:t>
      </w:r>
      <w:proofErr w:type="spellStart"/>
      <w:r w:rsidRPr="00BB64FF">
        <w:rPr>
          <w:szCs w:val="22"/>
        </w:rPr>
        <w:t>liquification</w:t>
      </w:r>
      <w:proofErr w:type="spellEnd"/>
      <w:r w:rsidRPr="00BB64FF">
        <w:rPr>
          <w:szCs w:val="22"/>
        </w:rPr>
        <w:t xml:space="preserve"> NOX 750-10,000 </w:t>
      </w:r>
    </w:p>
    <w:p w:rsidR="00BB64FF" w:rsidRPr="00BB64FF" w:rsidRDefault="00BB64FF" w:rsidP="00BB64FF">
      <w:pPr>
        <w:spacing w:after="40"/>
        <w:ind w:left="20"/>
        <w:rPr>
          <w:szCs w:val="22"/>
        </w:rPr>
      </w:pPr>
      <w:r w:rsidRPr="00BB64FF">
        <w:rPr>
          <w:szCs w:val="22"/>
        </w:rPr>
        <w:t xml:space="preserve">Total allowable for all </w:t>
      </w:r>
      <w:proofErr w:type="gramStart"/>
      <w:r w:rsidRPr="00BB64FF">
        <w:rPr>
          <w:szCs w:val="22"/>
        </w:rPr>
        <w:t>technologies  15,000</w:t>
      </w:r>
      <w:proofErr w:type="gramEnd"/>
      <w:r w:rsidRPr="00BB64FF">
        <w:rPr>
          <w:szCs w:val="22"/>
        </w:rPr>
        <w:t xml:space="preserve"> </w:t>
      </w:r>
    </w:p>
    <w:p w:rsidR="00BB64FF" w:rsidRPr="00BB64FF" w:rsidRDefault="00BB64FF" w:rsidP="00BB64FF">
      <w:pPr>
        <w:spacing w:after="40"/>
        <w:ind w:left="20"/>
        <w:rPr>
          <w:szCs w:val="22"/>
        </w:rPr>
      </w:pPr>
      <w:r w:rsidRPr="00BB64FF">
        <w:rPr>
          <w:szCs w:val="22"/>
        </w:rPr>
        <w:t xml:space="preserve">(f) An owner or operator of an affected facility that uses a pressurized fluidized bed or a multi-pollutant emissions controls system who is issued a commercial demonstration permit by the Administrator is not subject to the total PM emission reduction requirements under § 60.42Da but must, as a minimum, reduce PM emissions to less than 6.4 </w:t>
      </w:r>
      <w:proofErr w:type="spellStart"/>
      <w:r w:rsidRPr="00BB64FF">
        <w:rPr>
          <w:szCs w:val="22"/>
        </w:rPr>
        <w:t>ng</w:t>
      </w:r>
      <w:proofErr w:type="spellEnd"/>
      <w:r w:rsidRPr="00BB64FF">
        <w:rPr>
          <w:szCs w:val="22"/>
        </w:rPr>
        <w:t>/J (0.015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(g) An owner or operator of an affected facility that uses a pressurized fluidized bed or a multi-pollutant emissions controls system who is issued a commercial demonstration permit by the Administrator is not subject to the SO</w:t>
      </w:r>
      <w:r w:rsidRPr="00F4004E">
        <w:rPr>
          <w:szCs w:val="22"/>
          <w:vertAlign w:val="subscript"/>
        </w:rPr>
        <w:t>2</w:t>
      </w:r>
      <w:r w:rsidRPr="00BB64FF">
        <w:rPr>
          <w:szCs w:val="22"/>
        </w:rPr>
        <w:t xml:space="preserve"> standards or emission reduction requirements under § 60.43Da but must, as a minimum, reduce SO</w:t>
      </w:r>
      <w:r w:rsidRPr="00F4004E">
        <w:rPr>
          <w:szCs w:val="22"/>
          <w:vertAlign w:val="subscript"/>
        </w:rPr>
        <w:t>2</w:t>
      </w:r>
      <w:r w:rsidRPr="00BB64FF">
        <w:rPr>
          <w:szCs w:val="22"/>
        </w:rPr>
        <w:t xml:space="preserve"> emissions to 5 percent of the potential combustion concentration (95 percent reduction) or to less than 180 </w:t>
      </w:r>
      <w:proofErr w:type="spellStart"/>
      <w:r w:rsidRPr="00BB64FF">
        <w:rPr>
          <w:szCs w:val="22"/>
        </w:rPr>
        <w:t>ng</w:t>
      </w:r>
      <w:proofErr w:type="spellEnd"/>
      <w:r w:rsidRPr="00BB64FF">
        <w:rPr>
          <w:szCs w:val="22"/>
        </w:rPr>
        <w:t>/J (1.4 lb/</w:t>
      </w:r>
      <w:proofErr w:type="spellStart"/>
      <w:r w:rsidRPr="00BB64FF">
        <w:rPr>
          <w:szCs w:val="22"/>
        </w:rPr>
        <w:t>MWh</w:t>
      </w:r>
      <w:proofErr w:type="spellEnd"/>
      <w:r w:rsidRPr="00BB64FF">
        <w:rPr>
          <w:szCs w:val="22"/>
        </w:rPr>
        <w:t>) gross energy output on a 30-boiler operating day rolling average basis.</w:t>
      </w:r>
    </w:p>
    <w:p w:rsidR="00BB64FF" w:rsidRPr="00BB64FF" w:rsidRDefault="00BB64FF" w:rsidP="00BB64FF">
      <w:pPr>
        <w:spacing w:after="40"/>
        <w:ind w:left="20"/>
        <w:rPr>
          <w:szCs w:val="22"/>
        </w:rPr>
      </w:pPr>
      <w:r w:rsidRPr="00BB64FF">
        <w:rPr>
          <w:szCs w:val="22"/>
        </w:rPr>
        <w:t xml:space="preserve">(h) An owner or operator of an affected facility that uses a pressurized fluidized bed or a multi-pollutant emissions control system or advanced combustion controls who is issued a commercial demonstration permit by the Administrator is not subject to the NOX standards or emission reduction requirements under § 60.44Da but must, as a minimum, reduce NOX emissions to less than 130 </w:t>
      </w:r>
      <w:proofErr w:type="spellStart"/>
      <w:r w:rsidRPr="00BB64FF">
        <w:rPr>
          <w:szCs w:val="22"/>
        </w:rPr>
        <w:t>ng</w:t>
      </w:r>
      <w:proofErr w:type="spellEnd"/>
      <w:r w:rsidRPr="00BB64FF">
        <w:rPr>
          <w:szCs w:val="22"/>
        </w:rPr>
        <w:t>/J (1.0 lb/</w:t>
      </w:r>
      <w:proofErr w:type="spellStart"/>
      <w:r w:rsidRPr="00BB64FF">
        <w:rPr>
          <w:szCs w:val="22"/>
        </w:rPr>
        <w:t>MWh</w:t>
      </w:r>
      <w:proofErr w:type="spellEnd"/>
      <w:r w:rsidRPr="00BB64FF">
        <w:rPr>
          <w:szCs w:val="22"/>
        </w:rPr>
        <w:t xml:space="preserve">) or the combined NOX plus CO emissions to less than 180 </w:t>
      </w:r>
      <w:proofErr w:type="spellStart"/>
      <w:r w:rsidRPr="00BB64FF">
        <w:rPr>
          <w:szCs w:val="22"/>
        </w:rPr>
        <w:t>ng</w:t>
      </w:r>
      <w:proofErr w:type="spellEnd"/>
      <w:r w:rsidRPr="00BB64FF">
        <w:rPr>
          <w:szCs w:val="22"/>
        </w:rPr>
        <w:t>/J (1.4 lb/</w:t>
      </w:r>
      <w:proofErr w:type="spellStart"/>
      <w:r w:rsidRPr="00BB64FF">
        <w:rPr>
          <w:szCs w:val="22"/>
        </w:rPr>
        <w:t>MWh</w:t>
      </w:r>
      <w:proofErr w:type="spellEnd"/>
      <w:r w:rsidRPr="00BB64FF">
        <w:rPr>
          <w:szCs w:val="22"/>
        </w:rPr>
        <w:t>) gross energy output on a 30-boiler operating day rolling average basis.</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Commercial demonstration permits may not exceed the following equivalent MW electrical generation capacity for any one technology category listed in the following table.</w:t>
      </w:r>
    </w:p>
    <w:p w:rsidR="00BB64FF" w:rsidRPr="00BB64FF" w:rsidRDefault="00BB64FF" w:rsidP="00BB64FF">
      <w:pPr>
        <w:spacing w:after="40"/>
        <w:ind w:left="20"/>
        <w:rPr>
          <w:szCs w:val="22"/>
        </w:rPr>
      </w:pPr>
      <w:r w:rsidRPr="00BB64FF">
        <w:rPr>
          <w:szCs w:val="22"/>
        </w:rPr>
        <w:t>Technology Pollutant Equivalent electrical capacity</w:t>
      </w:r>
    </w:p>
    <w:p w:rsidR="00BB64FF" w:rsidRPr="00BB64FF" w:rsidRDefault="00BB64FF" w:rsidP="00BB64FF">
      <w:pPr>
        <w:spacing w:after="40"/>
        <w:ind w:left="20"/>
        <w:rPr>
          <w:szCs w:val="22"/>
        </w:rPr>
      </w:pPr>
      <w:r w:rsidRPr="00BB64FF">
        <w:rPr>
          <w:szCs w:val="22"/>
        </w:rPr>
        <w:t xml:space="preserve">(MW electrical output) </w:t>
      </w:r>
    </w:p>
    <w:p w:rsidR="00BB64FF" w:rsidRPr="00BB64FF" w:rsidRDefault="00BB64FF" w:rsidP="00BB64FF">
      <w:pPr>
        <w:spacing w:after="40"/>
        <w:ind w:left="20"/>
        <w:rPr>
          <w:szCs w:val="22"/>
        </w:rPr>
      </w:pPr>
      <w:r w:rsidRPr="00BB64FF">
        <w:rPr>
          <w:szCs w:val="22"/>
        </w:rPr>
        <w:t>Multi-pollutant Emission Control SO</w:t>
      </w:r>
      <w:r w:rsidRPr="00F4004E">
        <w:rPr>
          <w:szCs w:val="22"/>
          <w:vertAlign w:val="subscript"/>
        </w:rPr>
        <w:t>2</w:t>
      </w:r>
      <w:r w:rsidRPr="00BB64FF">
        <w:rPr>
          <w:szCs w:val="22"/>
        </w:rPr>
        <w:t xml:space="preserve"> 1,000 </w:t>
      </w:r>
    </w:p>
    <w:p w:rsidR="00BB64FF" w:rsidRPr="00BB64FF" w:rsidRDefault="00BB64FF" w:rsidP="00BB64FF">
      <w:pPr>
        <w:spacing w:after="40"/>
        <w:ind w:left="20"/>
        <w:rPr>
          <w:szCs w:val="22"/>
        </w:rPr>
      </w:pPr>
      <w:r w:rsidRPr="00BB64FF">
        <w:rPr>
          <w:szCs w:val="22"/>
        </w:rPr>
        <w:t xml:space="preserve">Multi-pollutant Emission Control NOX 1,000 </w:t>
      </w:r>
    </w:p>
    <w:p w:rsidR="00BB64FF" w:rsidRPr="00BB64FF" w:rsidRDefault="00BB64FF" w:rsidP="00BB64FF">
      <w:pPr>
        <w:spacing w:after="40"/>
        <w:ind w:left="20"/>
        <w:rPr>
          <w:szCs w:val="22"/>
        </w:rPr>
      </w:pPr>
      <w:r w:rsidRPr="00BB64FF">
        <w:rPr>
          <w:szCs w:val="22"/>
        </w:rPr>
        <w:t xml:space="preserve">Multi-pollutant Emission Control PM 1,000 </w:t>
      </w:r>
    </w:p>
    <w:p w:rsidR="00BB64FF" w:rsidRPr="00BB64FF" w:rsidRDefault="00BB64FF" w:rsidP="00BB64FF">
      <w:pPr>
        <w:spacing w:after="40"/>
        <w:ind w:left="20"/>
        <w:rPr>
          <w:szCs w:val="22"/>
        </w:rPr>
      </w:pPr>
      <w:r w:rsidRPr="00BB64FF">
        <w:rPr>
          <w:szCs w:val="22"/>
        </w:rPr>
        <w:t>Pressurized Fluidized Bed Combustion SO</w:t>
      </w:r>
      <w:r w:rsidRPr="00F4004E">
        <w:rPr>
          <w:szCs w:val="22"/>
          <w:vertAlign w:val="subscript"/>
        </w:rPr>
        <w:t>2</w:t>
      </w:r>
      <w:r w:rsidRPr="00BB64FF">
        <w:rPr>
          <w:szCs w:val="22"/>
        </w:rPr>
        <w:t xml:space="preserve"> 1,000 </w:t>
      </w:r>
    </w:p>
    <w:p w:rsidR="00BB64FF" w:rsidRPr="00BB64FF" w:rsidRDefault="00BB64FF" w:rsidP="00BB64FF">
      <w:pPr>
        <w:spacing w:after="40"/>
        <w:ind w:left="20"/>
        <w:rPr>
          <w:szCs w:val="22"/>
        </w:rPr>
      </w:pPr>
      <w:r w:rsidRPr="00BB64FF">
        <w:rPr>
          <w:szCs w:val="22"/>
        </w:rPr>
        <w:t xml:space="preserve">Pressurized Fluidized Bed Combustion NOX 1,000 </w:t>
      </w:r>
    </w:p>
    <w:p w:rsidR="00BB64FF" w:rsidRPr="00BB64FF" w:rsidRDefault="00BB64FF" w:rsidP="00BB64FF">
      <w:pPr>
        <w:spacing w:after="40"/>
        <w:ind w:left="20"/>
        <w:rPr>
          <w:szCs w:val="22"/>
        </w:rPr>
      </w:pPr>
      <w:r w:rsidRPr="00BB64FF">
        <w:rPr>
          <w:szCs w:val="22"/>
        </w:rPr>
        <w:t xml:space="preserve">Pressurized Fluidized Bed Combustion PM 1,000 </w:t>
      </w:r>
    </w:p>
    <w:p w:rsidR="00BB64FF" w:rsidRPr="00BB64FF" w:rsidRDefault="00BB64FF" w:rsidP="00BB64FF">
      <w:pPr>
        <w:spacing w:after="40"/>
        <w:ind w:left="20"/>
        <w:rPr>
          <w:szCs w:val="22"/>
        </w:rPr>
      </w:pPr>
      <w:r w:rsidRPr="00BB64FF">
        <w:rPr>
          <w:szCs w:val="22"/>
        </w:rPr>
        <w:t xml:space="preserve">Advanced Combustion Controls NOX 1,000 </w:t>
      </w:r>
    </w:p>
    <w:p w:rsidR="00BB64FF" w:rsidRPr="00BB64FF" w:rsidRDefault="00BB64FF" w:rsidP="00BB64FF">
      <w:pPr>
        <w:spacing w:after="40"/>
        <w:ind w:left="20"/>
        <w:rPr>
          <w:szCs w:val="22"/>
        </w:rPr>
      </w:pPr>
      <w:r w:rsidRPr="00BB64FF">
        <w:rPr>
          <w:szCs w:val="22"/>
        </w:rPr>
        <w:t>[72 FR 32722, June 13, 2007, as amended at 77 FR 9450, Feb. 16, 2012]</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60.48Da   Compliance provisions.</w:t>
      </w:r>
      <w:proofErr w:type="gramEnd"/>
    </w:p>
    <w:p w:rsidR="00BB64FF" w:rsidRPr="00BB64FF" w:rsidRDefault="00BB64FF" w:rsidP="00BB64FF">
      <w:pPr>
        <w:spacing w:after="40"/>
        <w:ind w:left="20"/>
        <w:rPr>
          <w:szCs w:val="22"/>
        </w:rPr>
      </w:pPr>
      <w:r w:rsidRPr="00BB64FF">
        <w:rPr>
          <w:szCs w:val="22"/>
        </w:rPr>
        <w:lastRenderedPageBreak/>
        <w:t>(a) For affected facilities for which construction, modification, or reconstruction commenced before May 4, 2011, the applicable PM emissions limit and opacity standard under § 60.42Da, SO</w:t>
      </w:r>
      <w:r w:rsidRPr="00F4004E">
        <w:rPr>
          <w:szCs w:val="22"/>
          <w:vertAlign w:val="subscript"/>
        </w:rPr>
        <w:t>2</w:t>
      </w:r>
      <w:r w:rsidRPr="00BB64FF">
        <w:rPr>
          <w:szCs w:val="22"/>
        </w:rPr>
        <w:t xml:space="preserve"> emissions limit under § 60.43Da, and NOX emissions limit under § 60.44Da apply at all times except during periods of startup, shutdown, or malfunction. For affected facilities for which construction, modification, or reconstruction commenced after May 3, 2011, the applicable SO</w:t>
      </w:r>
      <w:r w:rsidRPr="00F4004E">
        <w:rPr>
          <w:szCs w:val="22"/>
          <w:vertAlign w:val="subscript"/>
        </w:rPr>
        <w:t>2</w:t>
      </w:r>
      <w:r w:rsidRPr="00BB64FF">
        <w:rPr>
          <w:szCs w:val="22"/>
        </w:rPr>
        <w:t xml:space="preserve"> emissions limit under § 60.43Da, NOX emissions limit under § 60.44Da, and NOX plus CO emissions limit under § 60.45Da apply at all times. The applicable PM emissions limit and opacity standard under § 60.42Da apply at all times except during periods of startup and shutdown.</w:t>
      </w:r>
    </w:p>
    <w:p w:rsidR="00BB64FF" w:rsidRPr="00BB64FF" w:rsidRDefault="00BB64FF" w:rsidP="00BB64FF">
      <w:pPr>
        <w:spacing w:after="40"/>
        <w:ind w:left="20"/>
        <w:rPr>
          <w:szCs w:val="22"/>
        </w:rPr>
      </w:pPr>
      <w:r w:rsidRPr="00BB64FF">
        <w:rPr>
          <w:szCs w:val="22"/>
        </w:rPr>
        <w:t>(b) After the initial performance test required under § 60.8, compliance with the applicable SO</w:t>
      </w:r>
      <w:r w:rsidRPr="00F4004E">
        <w:rPr>
          <w:szCs w:val="22"/>
          <w:vertAlign w:val="subscript"/>
        </w:rPr>
        <w:t xml:space="preserve">2 </w:t>
      </w:r>
      <w:r w:rsidRPr="00BB64FF">
        <w:rPr>
          <w:szCs w:val="22"/>
        </w:rPr>
        <w:t xml:space="preserve">emissions limit and percentage reduction requirements under § 60.43Da, NOX emissions limit under § 60.44Da, and NOX plus CO emissions limit under § 60.45Da is based on the average emission rate for 30 successive boiler operating days. A separate performance test is completed at the end of each boiler operating day after the initial performance test, and a new 30-boiler operating day rolling average emission rate for </w:t>
      </w:r>
      <w:proofErr w:type="gramStart"/>
      <w:r w:rsidRPr="00BB64FF">
        <w:rPr>
          <w:szCs w:val="22"/>
        </w:rPr>
        <w:t>both SO</w:t>
      </w:r>
      <w:r w:rsidRPr="00F4004E">
        <w:rPr>
          <w:szCs w:val="22"/>
          <w:vertAlign w:val="subscript"/>
        </w:rPr>
        <w:t>2</w:t>
      </w:r>
      <w:proofErr w:type="gramEnd"/>
      <w:r w:rsidRPr="00BB64FF">
        <w:rPr>
          <w:szCs w:val="22"/>
        </w:rPr>
        <w:t>, NOX or NOX plus CO as applicable, and a new percent reduction for SO</w:t>
      </w:r>
      <w:r w:rsidRPr="00F4004E">
        <w:rPr>
          <w:szCs w:val="22"/>
          <w:vertAlign w:val="subscript"/>
        </w:rPr>
        <w:t>2</w:t>
      </w:r>
      <w:r w:rsidRPr="00BB64FF">
        <w:rPr>
          <w:szCs w:val="22"/>
        </w:rPr>
        <w:t xml:space="preserve"> are calculated to demonstrate compliance with the standards.</w:t>
      </w:r>
    </w:p>
    <w:p w:rsidR="00BB64FF" w:rsidRPr="00BB64FF" w:rsidRDefault="00BB64FF" w:rsidP="00BB64FF">
      <w:pPr>
        <w:spacing w:after="40"/>
        <w:ind w:left="20"/>
        <w:rPr>
          <w:szCs w:val="22"/>
        </w:rPr>
      </w:pPr>
      <w:r w:rsidRPr="00BB64FF">
        <w:rPr>
          <w:szCs w:val="22"/>
        </w:rPr>
        <w:t>(c) For the initial performance test required under § 60.8, compliance with the applicable SO</w:t>
      </w:r>
      <w:r w:rsidRPr="00F4004E">
        <w:rPr>
          <w:szCs w:val="22"/>
          <w:vertAlign w:val="subscript"/>
        </w:rPr>
        <w:t>2</w:t>
      </w:r>
      <w:r w:rsidRPr="00BB64FF">
        <w:rPr>
          <w:szCs w:val="22"/>
        </w:rPr>
        <w:t xml:space="preserve"> emissions limits and percentage reduction requirements under § 60.43Da, the NOX emissions limits under § 60.44Da, and the NOX plus CO emissions limits under § 60.45Da is based on the average emission rates for SO</w:t>
      </w:r>
      <w:r w:rsidRPr="00F4004E">
        <w:rPr>
          <w:szCs w:val="22"/>
          <w:vertAlign w:val="subscript"/>
        </w:rPr>
        <w:t>2</w:t>
      </w:r>
      <w:r w:rsidRPr="00BB64FF">
        <w:rPr>
          <w:szCs w:val="22"/>
        </w:rPr>
        <w:t>, NOX, CO, and percent reduction for SO</w:t>
      </w:r>
      <w:r w:rsidRPr="00F4004E">
        <w:rPr>
          <w:szCs w:val="22"/>
          <w:vertAlign w:val="subscript"/>
        </w:rPr>
        <w:t>2</w:t>
      </w:r>
      <w:r w:rsidRPr="00BB64FF">
        <w:rPr>
          <w:szCs w:val="22"/>
        </w:rPr>
        <w:t xml:space="preserve"> for the first 30 successive boiler operating days. The initial performance test is the only test in which at least 30 days prior notice is required unless otherwise specified by the Administrator. The initial performance test is to be scheduled so that the first boiler operating day of the 30 successive boiler operating days is completed within 60 days after achieving the maximum production rate at which the affected facility will be operated, but not later than 180 days after initial startup of the facility.</w:t>
      </w:r>
    </w:p>
    <w:p w:rsidR="00BB64FF" w:rsidRPr="00BB64FF" w:rsidRDefault="00BB64FF" w:rsidP="00BB64FF">
      <w:pPr>
        <w:spacing w:after="40"/>
        <w:ind w:left="20"/>
        <w:rPr>
          <w:szCs w:val="22"/>
        </w:rPr>
      </w:pPr>
      <w:r w:rsidRPr="00BB64FF">
        <w:rPr>
          <w:szCs w:val="22"/>
        </w:rPr>
        <w:t>(d) For affected facilities for which construction, modification, or reconstruction commenced before May 4, 2011, compliance with applicable 30-boiler operating day rolling average SO</w:t>
      </w:r>
      <w:r w:rsidRPr="00F4004E">
        <w:rPr>
          <w:szCs w:val="22"/>
          <w:vertAlign w:val="subscript"/>
        </w:rPr>
        <w:t>2</w:t>
      </w:r>
      <w:r w:rsidRPr="00BB64FF">
        <w:rPr>
          <w:szCs w:val="22"/>
        </w:rPr>
        <w:t xml:space="preserve"> and NOX emissions limits is determined by calculating the arithmetic average of all hourly emission rates for SO</w:t>
      </w:r>
      <w:r w:rsidRPr="00F4004E">
        <w:rPr>
          <w:szCs w:val="22"/>
          <w:vertAlign w:val="subscript"/>
        </w:rPr>
        <w:t>2</w:t>
      </w:r>
      <w:r w:rsidRPr="00BB64FF">
        <w:rPr>
          <w:szCs w:val="22"/>
        </w:rPr>
        <w:t xml:space="preserve"> and NOX for the 30 successive boiler operating days, except for data obtained during startup, shutdown, or malfunction. For affected facilities for which construction, modification, or reconstruction commenced after May 3, 2011, compliance with applicable 30-boiler operating day rolling average SO</w:t>
      </w:r>
      <w:r w:rsidRPr="00F4004E">
        <w:rPr>
          <w:szCs w:val="22"/>
          <w:vertAlign w:val="subscript"/>
        </w:rPr>
        <w:t>2</w:t>
      </w:r>
      <w:r w:rsidRPr="00BB64FF">
        <w:rPr>
          <w:szCs w:val="22"/>
        </w:rPr>
        <w:t xml:space="preserve"> and NOX emissions limits is determined by dividing the sum of the SO</w:t>
      </w:r>
      <w:r w:rsidRPr="00F4004E">
        <w:rPr>
          <w:szCs w:val="22"/>
          <w:vertAlign w:val="subscript"/>
        </w:rPr>
        <w:t>2</w:t>
      </w:r>
      <w:r w:rsidRPr="00BB64FF">
        <w:rPr>
          <w:szCs w:val="22"/>
        </w:rPr>
        <w:t xml:space="preserve"> and NOX emissions for the 30 successive boiler operating days by the sum of the gross energy output or net energy output, as applicable, for the 30 successive boiler operating days.</w:t>
      </w:r>
    </w:p>
    <w:p w:rsidR="00BB64FF" w:rsidRPr="00BB64FF" w:rsidRDefault="00BB64FF" w:rsidP="00BB64FF">
      <w:pPr>
        <w:spacing w:after="40"/>
        <w:ind w:left="20"/>
        <w:rPr>
          <w:szCs w:val="22"/>
        </w:rPr>
      </w:pPr>
      <w:r w:rsidRPr="00BB64FF">
        <w:rPr>
          <w:szCs w:val="22"/>
        </w:rPr>
        <w:t>(e) For affected facilities for which construction, modification, or reconstruction commenced before May 4, 2011, compliance with applicable SO</w:t>
      </w:r>
      <w:r w:rsidRPr="00F4004E">
        <w:rPr>
          <w:szCs w:val="22"/>
          <w:vertAlign w:val="subscript"/>
        </w:rPr>
        <w:t>2</w:t>
      </w:r>
      <w:r w:rsidRPr="00BB64FF">
        <w:rPr>
          <w:szCs w:val="22"/>
        </w:rPr>
        <w:t xml:space="preserve"> percentage reduction requirements is determined based on the average inlet and outlet SO</w:t>
      </w:r>
      <w:r w:rsidRPr="00F4004E">
        <w:rPr>
          <w:szCs w:val="22"/>
          <w:vertAlign w:val="subscript"/>
        </w:rPr>
        <w:t>2</w:t>
      </w:r>
      <w:r w:rsidRPr="00BB64FF">
        <w:rPr>
          <w:szCs w:val="22"/>
        </w:rPr>
        <w:t xml:space="preserve"> emission rates for the 30 successive boiler operating days. For affected facilities for which construction, modification, or reconstruction commenced after May 3, 2011, compliance with applicable SO</w:t>
      </w:r>
      <w:r w:rsidRPr="00F4004E">
        <w:rPr>
          <w:szCs w:val="22"/>
          <w:vertAlign w:val="subscript"/>
        </w:rPr>
        <w:t>2</w:t>
      </w:r>
      <w:r w:rsidRPr="00BB64FF">
        <w:rPr>
          <w:szCs w:val="22"/>
        </w:rPr>
        <w:t xml:space="preserve"> percentage reduction requirements is determined based on the “as fired” total potential emissions and the total outlet SO</w:t>
      </w:r>
      <w:r w:rsidRPr="00F4004E">
        <w:rPr>
          <w:szCs w:val="22"/>
          <w:vertAlign w:val="subscript"/>
        </w:rPr>
        <w:t xml:space="preserve">2 </w:t>
      </w:r>
      <w:r w:rsidRPr="00BB64FF">
        <w:rPr>
          <w:szCs w:val="22"/>
        </w:rPr>
        <w:t>emissions for the 30 successive boiler operating days.</w:t>
      </w:r>
    </w:p>
    <w:p w:rsidR="00BB64FF" w:rsidRPr="00BB64FF" w:rsidRDefault="00BB64FF" w:rsidP="00BB64FF">
      <w:pPr>
        <w:spacing w:after="40"/>
        <w:ind w:left="20"/>
        <w:rPr>
          <w:szCs w:val="22"/>
        </w:rPr>
      </w:pPr>
      <w:r w:rsidRPr="00BB64FF">
        <w:rPr>
          <w:szCs w:val="22"/>
        </w:rPr>
        <w:t>(f) For affected facilities for which construction, modification, or reconstruction commenced before May 4, 2011, compliance with the applicable daily average PM emissions limit is determined by calculating the arithmetic average of all hourly emission rates each boiler operating day, except for data obtained during startup, shutdown, or malfunction periods. Daily averages must be calculated for boiler operating days that have out-of-control periods totaling no more than 6 hours of unit operation during which the standard applies. For affected facilities for which construction or reconstruction commenced after May 3, 2011, that elect to demonstrate compliance using PM CEMS, compliance with the applicable PM emissions limit in § 60.42Da is determined on a 30-boiler operating day rolling average basis by calculating the arithmetic average of all hourly PM emission rates for the 30 successive boiler operating days, except for data obtained during periods of startup or shutdown.</w:t>
      </w:r>
    </w:p>
    <w:p w:rsidR="00BB64FF" w:rsidRPr="00BB64FF" w:rsidRDefault="00BB64FF" w:rsidP="00BB64FF">
      <w:pPr>
        <w:spacing w:after="40"/>
        <w:ind w:left="20"/>
        <w:rPr>
          <w:szCs w:val="22"/>
        </w:rPr>
      </w:pPr>
      <w:r w:rsidRPr="00BB64FF">
        <w:rPr>
          <w:szCs w:val="22"/>
        </w:rPr>
        <w:t xml:space="preserve">(g) For affected facilities for which construction, modification, or reconstruction commenced after May 3, 2011, compliance with applicable 30-boiler operating day rolling average NOX plus CO emissions limit is determined </w:t>
      </w:r>
      <w:r w:rsidRPr="00BB64FF">
        <w:rPr>
          <w:szCs w:val="22"/>
        </w:rPr>
        <w:lastRenderedPageBreak/>
        <w:t>by dividing the sum of the NOX plus CO emissions for the 30 successive boiler operating days by the sum of the gross energy output or net energy output, as applicable, for the 30 successive boiler operating days.</w:t>
      </w:r>
    </w:p>
    <w:p w:rsidR="00BB64FF" w:rsidRPr="00BB64FF" w:rsidRDefault="00BB64FF" w:rsidP="00BB64FF">
      <w:pPr>
        <w:spacing w:after="40"/>
        <w:ind w:left="20"/>
        <w:rPr>
          <w:szCs w:val="22"/>
        </w:rPr>
      </w:pPr>
      <w:r w:rsidRPr="00BB64FF">
        <w:rPr>
          <w:szCs w:val="22"/>
        </w:rPr>
        <w:t>(h) If an owner or operator has not obtained the minimum quantity of emission data as required under § 60.49Da of this subpart, compliance of the affected facility with the emission requirements under §§ 60.43Da and 60.44Da of this subpart for the day on which the 30-day period ends may be determined by the Administrator by following the applicable procedures in section 7 of Method 19 of appendix A of this part.</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Compliance provisions for sources subject to § 60.44Da(d)(1), (e)(1), (e)(2)(</w:t>
      </w:r>
      <w:proofErr w:type="spellStart"/>
      <w:r w:rsidRPr="00BB64FF">
        <w:rPr>
          <w:szCs w:val="22"/>
        </w:rPr>
        <w:t>i</w:t>
      </w:r>
      <w:proofErr w:type="spellEnd"/>
      <w:r w:rsidRPr="00BB64FF">
        <w:rPr>
          <w:szCs w:val="22"/>
        </w:rPr>
        <w:t>), (e)(3)(</w:t>
      </w:r>
      <w:proofErr w:type="spellStart"/>
      <w:r w:rsidRPr="00BB64FF">
        <w:rPr>
          <w:szCs w:val="22"/>
        </w:rPr>
        <w:t>i</w:t>
      </w:r>
      <w:proofErr w:type="spellEnd"/>
      <w:r w:rsidRPr="00BB64FF">
        <w:rPr>
          <w:szCs w:val="22"/>
        </w:rPr>
        <w:t xml:space="preserve">), (f), or (g). The owner or operator shall calculate NOX emissions as 1.194 × 10−7 lb/scf-ppm times the average hourly NOX output concentration in ppm (measured according to the provisions of § 60.49Da(c)), times the average hourly flow rate (measured in </w:t>
      </w:r>
      <w:proofErr w:type="spellStart"/>
      <w:r w:rsidRPr="00BB64FF">
        <w:rPr>
          <w:szCs w:val="22"/>
        </w:rPr>
        <w:t>scfh</w:t>
      </w:r>
      <w:proofErr w:type="spellEnd"/>
      <w:r w:rsidRPr="00BB64FF">
        <w:rPr>
          <w:szCs w:val="22"/>
        </w:rPr>
        <w:t xml:space="preserve">, according to the provisions of § 60.49Da(l) or § 60.49Da(m)), divided by the average hourly gross energy output (measured according to the provisions of § 60.49Da(k)) or the average hourly net energy output, as applicable. Alternatively, for oil-fired and gas-fired units, NOX emissions may be calculated by multiplying the hourly NOX emission rate in lb/MMBtu (measured by the CEMS required under § 60.49Da(c) and (d)), by the hourly heat input rate (measured according to the provisions of § </w:t>
      </w:r>
      <w:proofErr w:type="gramStart"/>
      <w:r w:rsidRPr="00BB64FF">
        <w:rPr>
          <w:szCs w:val="22"/>
        </w:rPr>
        <w:t>60.49Da(</w:t>
      </w:r>
      <w:proofErr w:type="gramEnd"/>
      <w:r w:rsidRPr="00BB64FF">
        <w:rPr>
          <w:szCs w:val="22"/>
        </w:rPr>
        <w:t>n)), and dividing the result by the average gross energy output (measured according to the provisions of § 60.49Da(k)) or the average hourly net energy output, as applicable.</w:t>
      </w:r>
    </w:p>
    <w:p w:rsidR="00BB64FF" w:rsidRPr="00BB64FF" w:rsidRDefault="00BB64FF" w:rsidP="00BB64FF">
      <w:pPr>
        <w:spacing w:after="40"/>
        <w:ind w:left="20"/>
        <w:rPr>
          <w:szCs w:val="22"/>
        </w:rPr>
      </w:pPr>
      <w:r w:rsidRPr="00BB64FF">
        <w:rPr>
          <w:szCs w:val="22"/>
        </w:rPr>
        <w:t xml:space="preserve">(j) Compliance provisions for duct burners subject to § </w:t>
      </w:r>
      <w:proofErr w:type="gramStart"/>
      <w:r w:rsidRPr="00BB64FF">
        <w:rPr>
          <w:szCs w:val="22"/>
        </w:rPr>
        <w:t>60.44Da(</w:t>
      </w:r>
      <w:proofErr w:type="gramEnd"/>
      <w:r w:rsidRPr="00BB64FF">
        <w:rPr>
          <w:szCs w:val="22"/>
        </w:rPr>
        <w:t>a)(1) . To determine compliance with the emissions limits for NOX required by § 60.44Da(a) for duct burners used in combined cycle systems, either of the procedures described in paragraph (j)(1) or (2) of this section may be used:</w:t>
      </w:r>
    </w:p>
    <w:p w:rsidR="00BB64FF" w:rsidRPr="00BB64FF" w:rsidRDefault="00BB64FF" w:rsidP="00BB64FF">
      <w:pPr>
        <w:spacing w:after="40"/>
        <w:ind w:left="20"/>
        <w:rPr>
          <w:szCs w:val="22"/>
        </w:rPr>
      </w:pPr>
      <w:r w:rsidRPr="00BB64FF">
        <w:rPr>
          <w:szCs w:val="22"/>
        </w:rPr>
        <w:t xml:space="preserve">(1) The owner or operator of an affected duct burner shall conduct the performance test required under § 60.8 using the appropriate methods in appendix A of this part. Compliance with the emissions limits under § </w:t>
      </w:r>
      <w:proofErr w:type="gramStart"/>
      <w:r w:rsidRPr="00BB64FF">
        <w:rPr>
          <w:szCs w:val="22"/>
        </w:rPr>
        <w:t>60.44Da(</w:t>
      </w:r>
      <w:proofErr w:type="gramEnd"/>
      <w:r w:rsidRPr="00BB64FF">
        <w:rPr>
          <w:szCs w:val="22"/>
        </w:rPr>
        <w:t>a)(1) is determined on the average of three (nominal 1-hour) runs for the initial and subsequent performance tests. During the performance test, one sampling site shall be located in the exhaust of the turbine prior to the duct burner. A second sampling site shall be located at the outlet from the heat recovery steam generating unit. Measurements shall be taken at both sampling sites during the performance test; or</w:t>
      </w:r>
    </w:p>
    <w:p w:rsidR="00BB64FF" w:rsidRPr="00BB64FF" w:rsidRDefault="00BB64FF" w:rsidP="00BB64FF">
      <w:pPr>
        <w:spacing w:after="40"/>
        <w:ind w:left="20"/>
        <w:rPr>
          <w:szCs w:val="22"/>
        </w:rPr>
      </w:pPr>
      <w:r w:rsidRPr="00BB64FF">
        <w:rPr>
          <w:szCs w:val="22"/>
        </w:rPr>
        <w:t>(2) The owner or operator of an affected duct burner may elect to determine compliance by using the CEMS specified under § 60.49Da for measuring NOX and oxygen (O</w:t>
      </w:r>
      <w:r w:rsidRPr="00F4004E">
        <w:rPr>
          <w:szCs w:val="22"/>
          <w:vertAlign w:val="subscript"/>
        </w:rPr>
        <w:t>2</w:t>
      </w:r>
      <w:r w:rsidRPr="00BB64FF">
        <w:rPr>
          <w:szCs w:val="22"/>
        </w:rPr>
        <w:t>) (or carbon dioxide (CO</w:t>
      </w:r>
      <w:r w:rsidRPr="00F4004E">
        <w:rPr>
          <w:szCs w:val="22"/>
          <w:vertAlign w:val="subscript"/>
        </w:rPr>
        <w:t>2</w:t>
      </w:r>
      <w:r w:rsidRPr="00BB64FF">
        <w:rPr>
          <w:szCs w:val="22"/>
        </w:rPr>
        <w:t xml:space="preserve">)) and meet the requirements of § 60.49Da. Alternatively, data from a NOX emission rate </w:t>
      </w:r>
      <w:proofErr w:type="gramStart"/>
      <w:r w:rsidRPr="00BB64FF">
        <w:rPr>
          <w:szCs w:val="22"/>
        </w:rPr>
        <w:t>( i.e</w:t>
      </w:r>
      <w:proofErr w:type="gramEnd"/>
      <w:r w:rsidRPr="00BB64FF">
        <w:rPr>
          <w:szCs w:val="22"/>
        </w:rPr>
        <w:t>. , NOX -diluent) CEMS certified according to the provisions of § 75.20(c) of this chapter and appendix A to part 75 of this chapter, and meeting the quality assurance requirements of § 75.21 of this chapter and appendix B to part 75 of this chapter, may be used, with the following caveats. Data used to meet the requirements of § 60.51Da shall not include substitute data values derived from the missing data procedures in subpart D of part 75 of this chapter, nor shall the data have been bias adjusted according to the procedures of part 75 of this chapter. The sampling site shall be located at the outlet from the steam generating unit. The NOX emission rate at the outlet from the steam generating unit shall constitute the NOX emission rate from the duct burner of the combined cycle system.</w:t>
      </w:r>
    </w:p>
    <w:p w:rsidR="00BB64FF" w:rsidRPr="00BB64FF" w:rsidRDefault="00BB64FF" w:rsidP="00BB64FF">
      <w:pPr>
        <w:spacing w:after="40"/>
        <w:ind w:left="20"/>
        <w:rPr>
          <w:szCs w:val="22"/>
        </w:rPr>
      </w:pPr>
      <w:r w:rsidRPr="00BB64FF">
        <w:rPr>
          <w:szCs w:val="22"/>
        </w:rPr>
        <w:t xml:space="preserve">(k) Compliance provisions for duct burners subject to § </w:t>
      </w:r>
      <w:proofErr w:type="gramStart"/>
      <w:r w:rsidRPr="00BB64FF">
        <w:rPr>
          <w:szCs w:val="22"/>
        </w:rPr>
        <w:t>60.44Da(</w:t>
      </w:r>
      <w:proofErr w:type="gramEnd"/>
      <w:r w:rsidRPr="00BB64FF">
        <w:rPr>
          <w:szCs w:val="22"/>
        </w:rPr>
        <w:t>d)(1) or (e)(1) . To determine compliance with the emission limitation for NOX required by § 60.44Da(d)(1) or (e)(1) for duct burners used in combined cycle systems, either of the procedures described in paragraphs (k)(1) and (2) of this section may be used:</w:t>
      </w:r>
    </w:p>
    <w:p w:rsidR="00BB64FF" w:rsidRPr="00BB64FF" w:rsidRDefault="00BB64FF" w:rsidP="00BB64FF">
      <w:pPr>
        <w:spacing w:after="40"/>
        <w:ind w:left="20"/>
        <w:rPr>
          <w:szCs w:val="22"/>
        </w:rPr>
      </w:pPr>
      <w:r w:rsidRPr="00BB64FF">
        <w:rPr>
          <w:szCs w:val="22"/>
        </w:rPr>
        <w:t xml:space="preserve">(1) The owner or operator of an affected duct burner used in combined cycle systems shall determine compliance with the applicable NOX emission limitation in § </w:t>
      </w:r>
      <w:proofErr w:type="gramStart"/>
      <w:r w:rsidRPr="00BB64FF">
        <w:rPr>
          <w:szCs w:val="22"/>
        </w:rPr>
        <w:t>60.44Da(</w:t>
      </w:r>
      <w:proofErr w:type="gramEnd"/>
      <w:r w:rsidRPr="00BB64FF">
        <w:rPr>
          <w:szCs w:val="22"/>
        </w:rPr>
        <w:t>d)(1) or (e)(1) as follows:</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The emission rate (E) of NOX shall be computed using Equation 2 in this section:</w:t>
      </w:r>
    </w:p>
    <w:p w:rsidR="00BB64FF" w:rsidRPr="00BB64FF" w:rsidRDefault="00BB64FF" w:rsidP="00BB64FF">
      <w:pPr>
        <w:spacing w:after="40"/>
        <w:ind w:left="20"/>
        <w:rPr>
          <w:szCs w:val="22"/>
        </w:rPr>
      </w:pPr>
      <w:r w:rsidRPr="00BB64FF">
        <w:rPr>
          <w:szCs w:val="22"/>
        </w:rPr>
        <w:t>Where:</w:t>
      </w:r>
    </w:p>
    <w:p w:rsidR="00BB64FF" w:rsidRPr="00BB64FF" w:rsidRDefault="00BB64FF" w:rsidP="00BB64FF">
      <w:pPr>
        <w:spacing w:after="40"/>
        <w:ind w:left="20"/>
        <w:rPr>
          <w:szCs w:val="22"/>
        </w:rPr>
      </w:pPr>
      <w:r w:rsidRPr="00BB64FF">
        <w:rPr>
          <w:szCs w:val="22"/>
        </w:rPr>
        <w:t xml:space="preserve">E = Emission rate of NOX from the duct burner, </w:t>
      </w:r>
      <w:proofErr w:type="spellStart"/>
      <w:r w:rsidRPr="00BB64FF">
        <w:rPr>
          <w:szCs w:val="22"/>
        </w:rPr>
        <w:t>ng</w:t>
      </w:r>
      <w:proofErr w:type="spellEnd"/>
      <w:r w:rsidRPr="00BB64FF">
        <w:rPr>
          <w:szCs w:val="22"/>
        </w:rPr>
        <w:t>/J (lb/</w:t>
      </w:r>
      <w:proofErr w:type="spellStart"/>
      <w:r w:rsidRPr="00BB64FF">
        <w:rPr>
          <w:szCs w:val="22"/>
        </w:rPr>
        <w:t>MWh</w:t>
      </w:r>
      <w:proofErr w:type="spellEnd"/>
      <w:r w:rsidRPr="00BB64FF">
        <w:rPr>
          <w:szCs w:val="22"/>
        </w:rPr>
        <w:t>) gross energy output;</w:t>
      </w:r>
    </w:p>
    <w:p w:rsidR="00BB64FF" w:rsidRPr="00BB64FF" w:rsidRDefault="00BB64FF" w:rsidP="00BB64FF">
      <w:pPr>
        <w:spacing w:after="40"/>
        <w:ind w:left="20"/>
        <w:rPr>
          <w:szCs w:val="22"/>
        </w:rPr>
      </w:pPr>
      <w:proofErr w:type="spellStart"/>
      <w:r w:rsidRPr="00BB64FF">
        <w:rPr>
          <w:szCs w:val="22"/>
        </w:rPr>
        <w:t>Csg</w:t>
      </w:r>
      <w:proofErr w:type="spellEnd"/>
      <w:r w:rsidRPr="00BB64FF">
        <w:rPr>
          <w:szCs w:val="22"/>
        </w:rPr>
        <w:t xml:space="preserve"> = Average hourly concentration of NOX exiting the steam generating unit, </w:t>
      </w:r>
      <w:proofErr w:type="spellStart"/>
      <w:r w:rsidRPr="00BB64FF">
        <w:rPr>
          <w:szCs w:val="22"/>
        </w:rPr>
        <w:t>ng</w:t>
      </w:r>
      <w:proofErr w:type="spellEnd"/>
      <w:r w:rsidRPr="00BB64FF">
        <w:rPr>
          <w:szCs w:val="22"/>
        </w:rPr>
        <w:t>/</w:t>
      </w:r>
      <w:proofErr w:type="spellStart"/>
      <w:r w:rsidRPr="00BB64FF">
        <w:rPr>
          <w:szCs w:val="22"/>
        </w:rPr>
        <w:t>dscm</w:t>
      </w:r>
      <w:proofErr w:type="spellEnd"/>
      <w:r w:rsidRPr="00BB64FF">
        <w:rPr>
          <w:szCs w:val="22"/>
        </w:rPr>
        <w:t xml:space="preserve"> (lb/</w:t>
      </w:r>
      <w:proofErr w:type="spellStart"/>
      <w:r w:rsidRPr="00BB64FF">
        <w:rPr>
          <w:szCs w:val="22"/>
        </w:rPr>
        <w:t>dscf</w:t>
      </w:r>
      <w:proofErr w:type="spellEnd"/>
      <w:r w:rsidRPr="00BB64FF">
        <w:rPr>
          <w:szCs w:val="22"/>
        </w:rPr>
        <w:t>);</w:t>
      </w:r>
    </w:p>
    <w:p w:rsidR="00BB64FF" w:rsidRPr="00BB64FF" w:rsidRDefault="00BB64FF" w:rsidP="00BB64FF">
      <w:pPr>
        <w:spacing w:after="40"/>
        <w:ind w:left="20"/>
        <w:rPr>
          <w:szCs w:val="22"/>
        </w:rPr>
      </w:pPr>
      <w:proofErr w:type="spellStart"/>
      <w:r w:rsidRPr="00BB64FF">
        <w:rPr>
          <w:szCs w:val="22"/>
        </w:rPr>
        <w:t>Cte</w:t>
      </w:r>
      <w:proofErr w:type="spellEnd"/>
      <w:r w:rsidRPr="00BB64FF">
        <w:rPr>
          <w:szCs w:val="22"/>
        </w:rPr>
        <w:t xml:space="preserve"> = Average hourly concentration of NOX in the turbine exhaust upstream from duct burner, </w:t>
      </w:r>
      <w:proofErr w:type="spellStart"/>
      <w:r w:rsidRPr="00BB64FF">
        <w:rPr>
          <w:szCs w:val="22"/>
        </w:rPr>
        <w:t>ng</w:t>
      </w:r>
      <w:proofErr w:type="spellEnd"/>
      <w:r w:rsidRPr="00BB64FF">
        <w:rPr>
          <w:szCs w:val="22"/>
        </w:rPr>
        <w:t>/</w:t>
      </w:r>
      <w:proofErr w:type="spellStart"/>
      <w:r w:rsidRPr="00BB64FF">
        <w:rPr>
          <w:szCs w:val="22"/>
        </w:rPr>
        <w:t>dscm</w:t>
      </w:r>
      <w:proofErr w:type="spellEnd"/>
      <w:r w:rsidRPr="00BB64FF">
        <w:rPr>
          <w:szCs w:val="22"/>
        </w:rPr>
        <w:t xml:space="preserve"> (lb/</w:t>
      </w:r>
      <w:proofErr w:type="spellStart"/>
      <w:r w:rsidRPr="00BB64FF">
        <w:rPr>
          <w:szCs w:val="22"/>
        </w:rPr>
        <w:t>dscf</w:t>
      </w:r>
      <w:proofErr w:type="spellEnd"/>
      <w:r w:rsidRPr="00BB64FF">
        <w:rPr>
          <w:szCs w:val="22"/>
        </w:rPr>
        <w:t>);</w:t>
      </w:r>
    </w:p>
    <w:p w:rsidR="00BB64FF" w:rsidRPr="00BB64FF" w:rsidRDefault="00BB64FF" w:rsidP="00BB64FF">
      <w:pPr>
        <w:spacing w:after="40"/>
        <w:ind w:left="20"/>
        <w:rPr>
          <w:szCs w:val="22"/>
        </w:rPr>
      </w:pPr>
      <w:proofErr w:type="spellStart"/>
      <w:r w:rsidRPr="00BB64FF">
        <w:rPr>
          <w:szCs w:val="22"/>
        </w:rPr>
        <w:t>Qsg</w:t>
      </w:r>
      <w:proofErr w:type="spellEnd"/>
      <w:r w:rsidRPr="00BB64FF">
        <w:rPr>
          <w:szCs w:val="22"/>
        </w:rPr>
        <w:t xml:space="preserve"> = Average hourly volumetric flow rate of exhaust gas from steam generating unit, </w:t>
      </w:r>
      <w:proofErr w:type="spellStart"/>
      <w:r w:rsidRPr="00BB64FF">
        <w:rPr>
          <w:szCs w:val="22"/>
        </w:rPr>
        <w:t>dscm</w:t>
      </w:r>
      <w:proofErr w:type="spellEnd"/>
      <w:r w:rsidRPr="00BB64FF">
        <w:rPr>
          <w:szCs w:val="22"/>
        </w:rPr>
        <w:t>/h (</w:t>
      </w:r>
      <w:proofErr w:type="spellStart"/>
      <w:r w:rsidRPr="00BB64FF">
        <w:rPr>
          <w:szCs w:val="22"/>
        </w:rPr>
        <w:t>dscf</w:t>
      </w:r>
      <w:proofErr w:type="spellEnd"/>
      <w:r w:rsidRPr="00BB64FF">
        <w:rPr>
          <w:szCs w:val="22"/>
        </w:rPr>
        <w:t>/h);</w:t>
      </w:r>
    </w:p>
    <w:p w:rsidR="00BB64FF" w:rsidRPr="00BB64FF" w:rsidRDefault="00BB64FF" w:rsidP="00BB64FF">
      <w:pPr>
        <w:spacing w:after="40"/>
        <w:ind w:left="20"/>
        <w:rPr>
          <w:szCs w:val="22"/>
        </w:rPr>
      </w:pPr>
      <w:proofErr w:type="spellStart"/>
      <w:r w:rsidRPr="00BB64FF">
        <w:rPr>
          <w:szCs w:val="22"/>
        </w:rPr>
        <w:lastRenderedPageBreak/>
        <w:t>Qte</w:t>
      </w:r>
      <w:proofErr w:type="spellEnd"/>
      <w:r w:rsidRPr="00BB64FF">
        <w:rPr>
          <w:szCs w:val="22"/>
        </w:rPr>
        <w:t xml:space="preserve"> = Average hourly volumetric flow rate of exhaust gas from combustion turbine, </w:t>
      </w:r>
      <w:proofErr w:type="spellStart"/>
      <w:r w:rsidRPr="00BB64FF">
        <w:rPr>
          <w:szCs w:val="22"/>
        </w:rPr>
        <w:t>dscm</w:t>
      </w:r>
      <w:proofErr w:type="spellEnd"/>
      <w:r w:rsidRPr="00BB64FF">
        <w:rPr>
          <w:szCs w:val="22"/>
        </w:rPr>
        <w:t>/h (</w:t>
      </w:r>
      <w:proofErr w:type="spellStart"/>
      <w:r w:rsidRPr="00BB64FF">
        <w:rPr>
          <w:szCs w:val="22"/>
        </w:rPr>
        <w:t>dscf</w:t>
      </w:r>
      <w:proofErr w:type="spellEnd"/>
      <w:r w:rsidRPr="00BB64FF">
        <w:rPr>
          <w:szCs w:val="22"/>
        </w:rPr>
        <w:t>/h);</w:t>
      </w:r>
    </w:p>
    <w:p w:rsidR="00BB64FF" w:rsidRPr="00BB64FF" w:rsidRDefault="00BB64FF" w:rsidP="00BB64FF">
      <w:pPr>
        <w:spacing w:after="40"/>
        <w:ind w:left="20"/>
        <w:rPr>
          <w:szCs w:val="22"/>
        </w:rPr>
      </w:pPr>
      <w:proofErr w:type="spellStart"/>
      <w:r w:rsidRPr="00BB64FF">
        <w:rPr>
          <w:szCs w:val="22"/>
        </w:rPr>
        <w:t>Osg</w:t>
      </w:r>
      <w:proofErr w:type="spellEnd"/>
      <w:r w:rsidRPr="00BB64FF">
        <w:rPr>
          <w:szCs w:val="22"/>
        </w:rPr>
        <w:t xml:space="preserve"> = Average hourly gross energy output from steam generating unit, J/h (MW); and</w:t>
      </w:r>
    </w:p>
    <w:p w:rsidR="00BB64FF" w:rsidRPr="00BB64FF" w:rsidRDefault="00BB64FF" w:rsidP="00BB64FF">
      <w:pPr>
        <w:spacing w:after="40"/>
        <w:ind w:left="20"/>
        <w:rPr>
          <w:szCs w:val="22"/>
        </w:rPr>
      </w:pPr>
      <w:r w:rsidRPr="00BB64FF">
        <w:rPr>
          <w:szCs w:val="22"/>
        </w:rPr>
        <w:t>h = Average hourly fraction of the total heat input to the steam generating unit derived from the combustion of fuel in the affected duct burner.</w:t>
      </w:r>
    </w:p>
    <w:p w:rsidR="00BB64FF" w:rsidRPr="00BB64FF" w:rsidRDefault="00BB64FF" w:rsidP="00BB64FF">
      <w:pPr>
        <w:spacing w:after="40"/>
        <w:ind w:left="20"/>
        <w:rPr>
          <w:szCs w:val="22"/>
        </w:rPr>
      </w:pPr>
      <w:r w:rsidRPr="00BB64FF">
        <w:rPr>
          <w:szCs w:val="22"/>
        </w:rPr>
        <w:t>(ii) Method 7E of appendix A of this part shall be used to determine the NOX concentrations (</w:t>
      </w:r>
      <w:proofErr w:type="spellStart"/>
      <w:r w:rsidRPr="00BB64FF">
        <w:rPr>
          <w:szCs w:val="22"/>
        </w:rPr>
        <w:t>Csg</w:t>
      </w:r>
      <w:proofErr w:type="spellEnd"/>
      <w:r w:rsidRPr="00BB64FF">
        <w:rPr>
          <w:szCs w:val="22"/>
        </w:rPr>
        <w:t xml:space="preserve"> and </w:t>
      </w:r>
      <w:proofErr w:type="spellStart"/>
      <w:proofErr w:type="gramStart"/>
      <w:r w:rsidRPr="00BB64FF">
        <w:rPr>
          <w:szCs w:val="22"/>
        </w:rPr>
        <w:t>Cte</w:t>
      </w:r>
      <w:proofErr w:type="spellEnd"/>
      <w:r w:rsidRPr="00BB64FF">
        <w:rPr>
          <w:szCs w:val="22"/>
        </w:rPr>
        <w:t xml:space="preserve"> )</w:t>
      </w:r>
      <w:proofErr w:type="gramEnd"/>
      <w:r w:rsidRPr="00BB64FF">
        <w:rPr>
          <w:szCs w:val="22"/>
        </w:rPr>
        <w:t>. Method 2, 2F or 2G of appendix A of this part, as appropriate, shall be used to determine the volumetric flow rates (</w:t>
      </w:r>
      <w:proofErr w:type="spellStart"/>
      <w:r w:rsidRPr="00BB64FF">
        <w:rPr>
          <w:szCs w:val="22"/>
        </w:rPr>
        <w:t>Qsg</w:t>
      </w:r>
      <w:proofErr w:type="spellEnd"/>
      <w:r w:rsidRPr="00BB64FF">
        <w:rPr>
          <w:szCs w:val="22"/>
        </w:rPr>
        <w:t xml:space="preserve"> and </w:t>
      </w:r>
      <w:proofErr w:type="spellStart"/>
      <w:proofErr w:type="gramStart"/>
      <w:r w:rsidRPr="00BB64FF">
        <w:rPr>
          <w:szCs w:val="22"/>
        </w:rPr>
        <w:t>Qte</w:t>
      </w:r>
      <w:proofErr w:type="spellEnd"/>
      <w:r w:rsidRPr="00BB64FF">
        <w:rPr>
          <w:szCs w:val="22"/>
        </w:rPr>
        <w:t xml:space="preserve"> )</w:t>
      </w:r>
      <w:proofErr w:type="gramEnd"/>
      <w:r w:rsidRPr="00BB64FF">
        <w:rPr>
          <w:szCs w:val="22"/>
        </w:rPr>
        <w:t xml:space="preserve"> of the exhaust gases. The volumetric flow rate measurements shall be taken at the same time as the concentration measurements.</w:t>
      </w:r>
    </w:p>
    <w:p w:rsidR="00BB64FF" w:rsidRPr="00BB64FF" w:rsidRDefault="00BB64FF" w:rsidP="00BB64FF">
      <w:pPr>
        <w:spacing w:after="40"/>
        <w:ind w:left="20"/>
        <w:rPr>
          <w:szCs w:val="22"/>
        </w:rPr>
      </w:pPr>
      <w:r w:rsidRPr="00BB64FF">
        <w:rPr>
          <w:szCs w:val="22"/>
        </w:rPr>
        <w:t>(iii) The owner or operator shall develop, demonstrate, and provide information satisfactory to the Administrator to determine the average hourly gross energy output from the steam generating unit, and the average hourly percentage of the total heat input to the steam generating unit derived from the combustion of fuel in the affected duct burner.</w:t>
      </w:r>
    </w:p>
    <w:p w:rsidR="00BB64FF" w:rsidRPr="00BB64FF" w:rsidRDefault="00BB64FF" w:rsidP="00BB64FF">
      <w:pPr>
        <w:spacing w:after="40"/>
        <w:ind w:left="20"/>
        <w:rPr>
          <w:szCs w:val="22"/>
        </w:rPr>
      </w:pPr>
      <w:r w:rsidRPr="00BB64FF">
        <w:rPr>
          <w:szCs w:val="22"/>
        </w:rPr>
        <w:t xml:space="preserve">(iv) Compliance with the applicable NOX emission limitation in § </w:t>
      </w:r>
      <w:proofErr w:type="gramStart"/>
      <w:r w:rsidRPr="00BB64FF">
        <w:rPr>
          <w:szCs w:val="22"/>
        </w:rPr>
        <w:t>60.44Da(</w:t>
      </w:r>
      <w:proofErr w:type="gramEnd"/>
      <w:r w:rsidRPr="00BB64FF">
        <w:rPr>
          <w:szCs w:val="22"/>
        </w:rPr>
        <w:t>d)(1) or (e)(1) is determined by the three-run average (nominal 1-hour runs) for the initial and subsequent performance tests.</w:t>
      </w:r>
    </w:p>
    <w:p w:rsidR="00BB64FF" w:rsidRPr="00BB64FF" w:rsidRDefault="00BB64FF" w:rsidP="00BB64FF">
      <w:pPr>
        <w:spacing w:after="40"/>
        <w:ind w:left="20"/>
        <w:rPr>
          <w:szCs w:val="22"/>
        </w:rPr>
      </w:pPr>
      <w:r w:rsidRPr="00BB64FF">
        <w:rPr>
          <w:szCs w:val="22"/>
        </w:rPr>
        <w:t xml:space="preserve">(2) The owner or operator of an affected duct burner used in a combined cycle system may elect to determine compliance with the applicable NOX emission limitation in § </w:t>
      </w:r>
      <w:proofErr w:type="gramStart"/>
      <w:r w:rsidRPr="00BB64FF">
        <w:rPr>
          <w:szCs w:val="22"/>
        </w:rPr>
        <w:t>60.44Da(</w:t>
      </w:r>
      <w:proofErr w:type="gramEnd"/>
      <w:r w:rsidRPr="00BB64FF">
        <w:rPr>
          <w:szCs w:val="22"/>
        </w:rPr>
        <w:t>d)(1) or (e)(1) on a 30-day rolling average basis as indicated in paragraphs (k)(2)(</w:t>
      </w:r>
      <w:proofErr w:type="spellStart"/>
      <w:r w:rsidRPr="00BB64FF">
        <w:rPr>
          <w:szCs w:val="22"/>
        </w:rPr>
        <w:t>i</w:t>
      </w:r>
      <w:proofErr w:type="spellEnd"/>
      <w:r w:rsidRPr="00BB64FF">
        <w:rPr>
          <w:szCs w:val="22"/>
        </w:rPr>
        <w:t>) through (iv)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The emission rate (E) of NOX shall be computed using Equation 3 in this section:</w:t>
      </w:r>
    </w:p>
    <w:p w:rsidR="00BB64FF" w:rsidRPr="00BB64FF" w:rsidRDefault="00BB64FF" w:rsidP="00BB64FF">
      <w:pPr>
        <w:spacing w:after="40"/>
        <w:ind w:left="20"/>
        <w:rPr>
          <w:szCs w:val="22"/>
        </w:rPr>
      </w:pPr>
      <w:r w:rsidRPr="00BB64FF">
        <w:rPr>
          <w:szCs w:val="22"/>
        </w:rPr>
        <w:t>Where:</w:t>
      </w:r>
    </w:p>
    <w:p w:rsidR="00BB64FF" w:rsidRPr="00BB64FF" w:rsidRDefault="00BB64FF" w:rsidP="00BB64FF">
      <w:pPr>
        <w:spacing w:after="40"/>
        <w:ind w:left="20"/>
        <w:rPr>
          <w:szCs w:val="22"/>
        </w:rPr>
      </w:pPr>
      <w:r w:rsidRPr="00BB64FF">
        <w:rPr>
          <w:szCs w:val="22"/>
        </w:rPr>
        <w:t xml:space="preserve">E = Emission rate of NOX from the duct burner, </w:t>
      </w:r>
      <w:proofErr w:type="spellStart"/>
      <w:r w:rsidRPr="00BB64FF">
        <w:rPr>
          <w:szCs w:val="22"/>
        </w:rPr>
        <w:t>ng</w:t>
      </w:r>
      <w:proofErr w:type="spellEnd"/>
      <w:r w:rsidRPr="00BB64FF">
        <w:rPr>
          <w:szCs w:val="22"/>
        </w:rPr>
        <w:t>/J (lb/</w:t>
      </w:r>
      <w:proofErr w:type="spellStart"/>
      <w:r w:rsidRPr="00BB64FF">
        <w:rPr>
          <w:szCs w:val="22"/>
        </w:rPr>
        <w:t>MWh</w:t>
      </w:r>
      <w:proofErr w:type="spellEnd"/>
      <w:r w:rsidRPr="00BB64FF">
        <w:rPr>
          <w:szCs w:val="22"/>
        </w:rPr>
        <w:t>) gross energy output;</w:t>
      </w:r>
    </w:p>
    <w:p w:rsidR="00BB64FF" w:rsidRPr="00BB64FF" w:rsidRDefault="00BB64FF" w:rsidP="00BB64FF">
      <w:pPr>
        <w:spacing w:after="40"/>
        <w:ind w:left="20"/>
        <w:rPr>
          <w:szCs w:val="22"/>
        </w:rPr>
      </w:pPr>
      <w:proofErr w:type="spellStart"/>
      <w:r w:rsidRPr="00BB64FF">
        <w:rPr>
          <w:szCs w:val="22"/>
        </w:rPr>
        <w:t>Csg</w:t>
      </w:r>
      <w:proofErr w:type="spellEnd"/>
      <w:r w:rsidRPr="00BB64FF">
        <w:rPr>
          <w:szCs w:val="22"/>
        </w:rPr>
        <w:t xml:space="preserve"> = Average hourly concentration of NOX exiting the steam generating unit, </w:t>
      </w:r>
      <w:proofErr w:type="spellStart"/>
      <w:r w:rsidRPr="00BB64FF">
        <w:rPr>
          <w:szCs w:val="22"/>
        </w:rPr>
        <w:t>ng</w:t>
      </w:r>
      <w:proofErr w:type="spellEnd"/>
      <w:r w:rsidRPr="00BB64FF">
        <w:rPr>
          <w:szCs w:val="22"/>
        </w:rPr>
        <w:t>/</w:t>
      </w:r>
      <w:proofErr w:type="spellStart"/>
      <w:r w:rsidRPr="00BB64FF">
        <w:rPr>
          <w:szCs w:val="22"/>
        </w:rPr>
        <w:t>dscm</w:t>
      </w:r>
      <w:proofErr w:type="spellEnd"/>
      <w:r w:rsidRPr="00BB64FF">
        <w:rPr>
          <w:szCs w:val="22"/>
        </w:rPr>
        <w:t xml:space="preserve"> (lb/</w:t>
      </w:r>
      <w:proofErr w:type="spellStart"/>
      <w:r w:rsidRPr="00BB64FF">
        <w:rPr>
          <w:szCs w:val="22"/>
        </w:rPr>
        <w:t>dscf</w:t>
      </w:r>
      <w:proofErr w:type="spellEnd"/>
      <w:r w:rsidRPr="00BB64FF">
        <w:rPr>
          <w:szCs w:val="22"/>
        </w:rPr>
        <w:t>);</w:t>
      </w:r>
    </w:p>
    <w:p w:rsidR="00BB64FF" w:rsidRPr="00BB64FF" w:rsidRDefault="00BB64FF" w:rsidP="00BB64FF">
      <w:pPr>
        <w:spacing w:after="40"/>
        <w:ind w:left="20"/>
        <w:rPr>
          <w:szCs w:val="22"/>
        </w:rPr>
      </w:pPr>
      <w:proofErr w:type="spellStart"/>
      <w:r w:rsidRPr="00BB64FF">
        <w:rPr>
          <w:szCs w:val="22"/>
        </w:rPr>
        <w:t>Qsg</w:t>
      </w:r>
      <w:proofErr w:type="spellEnd"/>
      <w:r w:rsidRPr="00BB64FF">
        <w:rPr>
          <w:szCs w:val="22"/>
        </w:rPr>
        <w:t xml:space="preserve"> = Average hourly volumetric flow rate of exhaust gas from steam generating unit, </w:t>
      </w:r>
      <w:proofErr w:type="spellStart"/>
      <w:r w:rsidRPr="00BB64FF">
        <w:rPr>
          <w:szCs w:val="22"/>
        </w:rPr>
        <w:t>dscm</w:t>
      </w:r>
      <w:proofErr w:type="spellEnd"/>
      <w:r w:rsidRPr="00BB64FF">
        <w:rPr>
          <w:szCs w:val="22"/>
        </w:rPr>
        <w:t>/h (</w:t>
      </w:r>
      <w:proofErr w:type="spellStart"/>
      <w:r w:rsidRPr="00BB64FF">
        <w:rPr>
          <w:szCs w:val="22"/>
        </w:rPr>
        <w:t>dscf</w:t>
      </w:r>
      <w:proofErr w:type="spellEnd"/>
      <w:r w:rsidRPr="00BB64FF">
        <w:rPr>
          <w:szCs w:val="22"/>
        </w:rPr>
        <w:t>/h); and</w:t>
      </w:r>
    </w:p>
    <w:p w:rsidR="00BB64FF" w:rsidRPr="00BB64FF" w:rsidRDefault="00BB64FF" w:rsidP="00BB64FF">
      <w:pPr>
        <w:spacing w:after="40"/>
        <w:ind w:left="20"/>
        <w:rPr>
          <w:szCs w:val="22"/>
        </w:rPr>
      </w:pPr>
      <w:proofErr w:type="spellStart"/>
      <w:r w:rsidRPr="00BB64FF">
        <w:rPr>
          <w:szCs w:val="22"/>
        </w:rPr>
        <w:t>Occ</w:t>
      </w:r>
      <w:proofErr w:type="spellEnd"/>
      <w:r w:rsidRPr="00BB64FF">
        <w:rPr>
          <w:szCs w:val="22"/>
        </w:rPr>
        <w:t xml:space="preserve"> = Average hourly gross energy output from entire combined cycle unit, J/h (MW).</w:t>
      </w:r>
    </w:p>
    <w:p w:rsidR="00BB64FF" w:rsidRPr="00BB64FF" w:rsidRDefault="00BB64FF" w:rsidP="00BB64FF">
      <w:pPr>
        <w:spacing w:after="40"/>
        <w:ind w:left="20"/>
        <w:rPr>
          <w:szCs w:val="22"/>
        </w:rPr>
      </w:pPr>
      <w:r w:rsidRPr="00BB64FF">
        <w:rPr>
          <w:szCs w:val="22"/>
        </w:rPr>
        <w:t>(ii) The CEMS specified under § 60.49Da for measuring NOX and O</w:t>
      </w:r>
      <w:r w:rsidRPr="00F4004E">
        <w:rPr>
          <w:szCs w:val="22"/>
          <w:vertAlign w:val="subscript"/>
        </w:rPr>
        <w:t>2</w:t>
      </w:r>
      <w:r w:rsidRPr="00BB64FF">
        <w:rPr>
          <w:szCs w:val="22"/>
        </w:rPr>
        <w:t xml:space="preserve"> (or CO</w:t>
      </w:r>
      <w:r w:rsidRPr="00F4004E">
        <w:rPr>
          <w:szCs w:val="22"/>
          <w:vertAlign w:val="subscript"/>
        </w:rPr>
        <w:t>2</w:t>
      </w:r>
      <w:r w:rsidRPr="00BB64FF">
        <w:rPr>
          <w:szCs w:val="22"/>
        </w:rPr>
        <w:t>) shall be used to determine the average hourly NOX concentrations (</w:t>
      </w:r>
      <w:proofErr w:type="spellStart"/>
      <w:proofErr w:type="gramStart"/>
      <w:r w:rsidRPr="00BB64FF">
        <w:rPr>
          <w:szCs w:val="22"/>
        </w:rPr>
        <w:t>Csg</w:t>
      </w:r>
      <w:proofErr w:type="spellEnd"/>
      <w:r w:rsidRPr="00BB64FF">
        <w:rPr>
          <w:szCs w:val="22"/>
        </w:rPr>
        <w:t xml:space="preserve"> )</w:t>
      </w:r>
      <w:proofErr w:type="gramEnd"/>
      <w:r w:rsidRPr="00BB64FF">
        <w:rPr>
          <w:szCs w:val="22"/>
        </w:rPr>
        <w:t xml:space="preserve">. The continuous flow monitoring system specified in § </w:t>
      </w:r>
      <w:proofErr w:type="gramStart"/>
      <w:r w:rsidRPr="00BB64FF">
        <w:rPr>
          <w:szCs w:val="22"/>
        </w:rPr>
        <w:t>60.49Da(</w:t>
      </w:r>
      <w:proofErr w:type="gramEnd"/>
      <w:r w:rsidRPr="00BB64FF">
        <w:rPr>
          <w:szCs w:val="22"/>
        </w:rPr>
        <w:t>l) or § 60.49Da(m) shall be used to determine the volumetric flow rate (</w:t>
      </w:r>
      <w:proofErr w:type="spellStart"/>
      <w:r w:rsidRPr="00BB64FF">
        <w:rPr>
          <w:szCs w:val="22"/>
        </w:rPr>
        <w:t>Qsg</w:t>
      </w:r>
      <w:proofErr w:type="spellEnd"/>
      <w:r w:rsidRPr="00BB64FF">
        <w:rPr>
          <w:szCs w:val="22"/>
        </w:rPr>
        <w:t xml:space="preserve"> ) of the exhaust gas. If the option to use the flow monitoring system in § </w:t>
      </w:r>
      <w:proofErr w:type="gramStart"/>
      <w:r w:rsidRPr="00BB64FF">
        <w:rPr>
          <w:szCs w:val="22"/>
        </w:rPr>
        <w:t>60.49Da(</w:t>
      </w:r>
      <w:proofErr w:type="gramEnd"/>
      <w:r w:rsidRPr="00BB64FF">
        <w:rPr>
          <w:szCs w:val="22"/>
        </w:rPr>
        <w:t>m) is selected, the flow rate data used to meet the requirements of § 60.51Da shall not include substitute data values derived from the missing data procedures in subpart D of part 75 of this chapter, nor shall the data have been bias adjusted according to the procedures of part 75 of this chapter. The sampling site shall be located at the outlet from the steam generating unit.</w:t>
      </w:r>
    </w:p>
    <w:p w:rsidR="00BB64FF" w:rsidRPr="00BB64FF" w:rsidRDefault="00BB64FF" w:rsidP="00BB64FF">
      <w:pPr>
        <w:spacing w:after="40"/>
        <w:ind w:left="20"/>
        <w:rPr>
          <w:szCs w:val="22"/>
        </w:rPr>
      </w:pPr>
      <w:r w:rsidRPr="00BB64FF">
        <w:rPr>
          <w:szCs w:val="22"/>
        </w:rPr>
        <w:t>(iii) The continuous monitoring system specified under § 60.49Da(k) for measuring and determining gross energy output shall be used to determine the average hourly gross energy output from the entire combined cycle unit (</w:t>
      </w:r>
      <w:proofErr w:type="spellStart"/>
      <w:r w:rsidRPr="00BB64FF">
        <w:rPr>
          <w:szCs w:val="22"/>
        </w:rPr>
        <w:t>Occ</w:t>
      </w:r>
      <w:proofErr w:type="spellEnd"/>
      <w:r w:rsidRPr="00BB64FF">
        <w:rPr>
          <w:szCs w:val="22"/>
        </w:rPr>
        <w:t xml:space="preserve"> ), which is the combined output from the combustion turbine and the steam generating unit.</w:t>
      </w:r>
    </w:p>
    <w:p w:rsidR="00BB64FF" w:rsidRPr="00BB64FF" w:rsidRDefault="00BB64FF" w:rsidP="00BB64FF">
      <w:pPr>
        <w:spacing w:after="40"/>
        <w:ind w:left="20"/>
        <w:rPr>
          <w:szCs w:val="22"/>
        </w:rPr>
      </w:pPr>
      <w:r w:rsidRPr="00BB64FF">
        <w:rPr>
          <w:szCs w:val="22"/>
        </w:rPr>
        <w:t xml:space="preserve">(iv) The owner or operator may, in lieu of installing, operating, and recording data from the continuous flow monitoring system specified in § 60.49Da(l), determine the mass rate (lb/h) of NOX emissions by installing, operating, and maintaining continuous fuel </w:t>
      </w:r>
      <w:proofErr w:type="spellStart"/>
      <w:r w:rsidRPr="00BB64FF">
        <w:rPr>
          <w:szCs w:val="22"/>
        </w:rPr>
        <w:t>flowmeters</w:t>
      </w:r>
      <w:proofErr w:type="spellEnd"/>
      <w:r w:rsidRPr="00BB64FF">
        <w:rPr>
          <w:szCs w:val="22"/>
        </w:rPr>
        <w:t xml:space="preserve"> following the appropriate measurements procedures specified in appendix D of part 75 of this chapter. If this compliance option is selected, the emission rate (E) of NOX shall be computed using Equation 4 in this section:</w:t>
      </w:r>
    </w:p>
    <w:p w:rsidR="00BB64FF" w:rsidRPr="00BB64FF" w:rsidRDefault="00BB64FF" w:rsidP="00BB64FF">
      <w:pPr>
        <w:spacing w:after="40"/>
        <w:ind w:left="20"/>
        <w:rPr>
          <w:szCs w:val="22"/>
        </w:rPr>
      </w:pPr>
      <w:r w:rsidRPr="00BB64FF">
        <w:rPr>
          <w:szCs w:val="22"/>
        </w:rPr>
        <w:t>Where:</w:t>
      </w:r>
    </w:p>
    <w:p w:rsidR="00BB64FF" w:rsidRPr="00BB64FF" w:rsidRDefault="00BB64FF" w:rsidP="00BB64FF">
      <w:pPr>
        <w:spacing w:after="40"/>
        <w:ind w:left="20"/>
        <w:rPr>
          <w:szCs w:val="22"/>
        </w:rPr>
      </w:pPr>
      <w:r w:rsidRPr="00BB64FF">
        <w:rPr>
          <w:szCs w:val="22"/>
        </w:rPr>
        <w:t xml:space="preserve">E = Emission rate of NOX from the duct burner, </w:t>
      </w:r>
      <w:proofErr w:type="spellStart"/>
      <w:r w:rsidRPr="00BB64FF">
        <w:rPr>
          <w:szCs w:val="22"/>
        </w:rPr>
        <w:t>ng</w:t>
      </w:r>
      <w:proofErr w:type="spellEnd"/>
      <w:r w:rsidRPr="00BB64FF">
        <w:rPr>
          <w:szCs w:val="22"/>
        </w:rPr>
        <w:t>/J (lb/</w:t>
      </w:r>
      <w:proofErr w:type="spellStart"/>
      <w:r w:rsidRPr="00BB64FF">
        <w:rPr>
          <w:szCs w:val="22"/>
        </w:rPr>
        <w:t>MWh</w:t>
      </w:r>
      <w:proofErr w:type="spellEnd"/>
      <w:r w:rsidRPr="00BB64FF">
        <w:rPr>
          <w:szCs w:val="22"/>
        </w:rPr>
        <w:t>) gross energy output;</w:t>
      </w:r>
    </w:p>
    <w:p w:rsidR="00BB64FF" w:rsidRPr="00BB64FF" w:rsidRDefault="00BB64FF" w:rsidP="00BB64FF">
      <w:pPr>
        <w:spacing w:after="40"/>
        <w:ind w:left="20"/>
        <w:rPr>
          <w:szCs w:val="22"/>
        </w:rPr>
      </w:pPr>
      <w:proofErr w:type="spellStart"/>
      <w:r w:rsidRPr="00BB64FF">
        <w:rPr>
          <w:szCs w:val="22"/>
        </w:rPr>
        <w:t>ERsg</w:t>
      </w:r>
      <w:proofErr w:type="spellEnd"/>
      <w:r w:rsidRPr="00BB64FF">
        <w:rPr>
          <w:szCs w:val="22"/>
        </w:rPr>
        <w:t xml:space="preserve"> = Average hourly emission rate of NOX exiting the steam generating unit heat input calculated using appropriate F factor as described in Method 19 of appendix A of this part, </w:t>
      </w:r>
      <w:proofErr w:type="spellStart"/>
      <w:r w:rsidRPr="00BB64FF">
        <w:rPr>
          <w:szCs w:val="22"/>
        </w:rPr>
        <w:t>ng</w:t>
      </w:r>
      <w:proofErr w:type="spellEnd"/>
      <w:r w:rsidRPr="00BB64FF">
        <w:rPr>
          <w:szCs w:val="22"/>
        </w:rPr>
        <w:t>/J (lb/</w:t>
      </w:r>
      <w:proofErr w:type="spellStart"/>
      <w:r w:rsidRPr="00BB64FF">
        <w:rPr>
          <w:szCs w:val="22"/>
        </w:rPr>
        <w:t>MMBtu</w:t>
      </w:r>
      <w:proofErr w:type="spellEnd"/>
      <w:r w:rsidRPr="00BB64FF">
        <w:rPr>
          <w:szCs w:val="22"/>
        </w:rPr>
        <w:t>);</w:t>
      </w:r>
    </w:p>
    <w:p w:rsidR="00BB64FF" w:rsidRPr="00BB64FF" w:rsidRDefault="00BB64FF" w:rsidP="00BB64FF">
      <w:pPr>
        <w:spacing w:after="40"/>
        <w:ind w:left="20"/>
        <w:rPr>
          <w:szCs w:val="22"/>
        </w:rPr>
      </w:pPr>
      <w:proofErr w:type="spellStart"/>
      <w:r w:rsidRPr="00BB64FF">
        <w:rPr>
          <w:szCs w:val="22"/>
        </w:rPr>
        <w:t>Hcc</w:t>
      </w:r>
      <w:proofErr w:type="spellEnd"/>
      <w:r w:rsidRPr="00BB64FF">
        <w:rPr>
          <w:szCs w:val="22"/>
        </w:rPr>
        <w:t xml:space="preserve"> = Average hourly heat input rate of entire combined cycle unit, J/h (MMBtu/h); and</w:t>
      </w:r>
    </w:p>
    <w:p w:rsidR="00BB64FF" w:rsidRPr="00BB64FF" w:rsidRDefault="00BB64FF" w:rsidP="00BB64FF">
      <w:pPr>
        <w:spacing w:after="40"/>
        <w:ind w:left="20"/>
        <w:rPr>
          <w:szCs w:val="22"/>
        </w:rPr>
      </w:pPr>
      <w:proofErr w:type="spellStart"/>
      <w:r w:rsidRPr="00BB64FF">
        <w:rPr>
          <w:szCs w:val="22"/>
        </w:rPr>
        <w:t>Occ</w:t>
      </w:r>
      <w:proofErr w:type="spellEnd"/>
      <w:r w:rsidRPr="00BB64FF">
        <w:rPr>
          <w:szCs w:val="22"/>
        </w:rPr>
        <w:t xml:space="preserve"> = Average hourly gross energy output from entire combined cycle unit, J/h (MW).</w:t>
      </w:r>
    </w:p>
    <w:p w:rsidR="00BB64FF" w:rsidRPr="00BB64FF" w:rsidRDefault="00BB64FF" w:rsidP="00BB64FF">
      <w:pPr>
        <w:spacing w:after="40"/>
        <w:ind w:left="20"/>
        <w:rPr>
          <w:szCs w:val="22"/>
        </w:rPr>
      </w:pPr>
      <w:r w:rsidRPr="00BB64FF">
        <w:rPr>
          <w:szCs w:val="22"/>
        </w:rPr>
        <w:lastRenderedPageBreak/>
        <w:t>(3) When an affected duct burner steam generating unit utilizes a common steam turbine with one or more affected duct burner steam generating units, the owner or operator shall either: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Determine compliance with the applicable NOX emissions limits by measuring the emissions combined with the emissions from the other unit(s) utilizing the common steam turbine; or</w:t>
      </w:r>
    </w:p>
    <w:p w:rsidR="00BB64FF" w:rsidRPr="00BB64FF" w:rsidRDefault="00BB64FF" w:rsidP="00BB64FF">
      <w:pPr>
        <w:spacing w:after="40"/>
        <w:ind w:left="20"/>
        <w:rPr>
          <w:szCs w:val="22"/>
        </w:rPr>
      </w:pPr>
      <w:r w:rsidRPr="00BB64FF">
        <w:rPr>
          <w:szCs w:val="22"/>
        </w:rPr>
        <w:t>(ii) Develop, demonstrate, and provide information satisfactory to the Administrator on methods for apportioning the combined gross energy output from the steam turbine for each of the affected duct burners. The Administrator may approve such demonstrated substitute methods for apportioning the combined gross energy output measured at the steam turbine whenever the demonstration ensures accurate estimation of emissions regulated under this part.</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(l) [Reserved]</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(m) Compliance provisions for sources subject to § 60.43Da(</w:t>
      </w:r>
      <w:proofErr w:type="spellStart"/>
      <w:r w:rsidRPr="00BB64FF">
        <w:rPr>
          <w:szCs w:val="22"/>
        </w:rPr>
        <w:t>i</w:t>
      </w:r>
      <w:proofErr w:type="spellEnd"/>
      <w:r w:rsidRPr="00BB64FF">
        <w:rPr>
          <w:szCs w:val="22"/>
        </w:rPr>
        <w:t>)(1)(</w:t>
      </w:r>
      <w:proofErr w:type="spellStart"/>
      <w:r w:rsidRPr="00BB64FF">
        <w:rPr>
          <w:szCs w:val="22"/>
        </w:rPr>
        <w:t>i</w:t>
      </w:r>
      <w:proofErr w:type="spellEnd"/>
      <w:r w:rsidRPr="00BB64FF">
        <w:rPr>
          <w:szCs w:val="22"/>
        </w:rPr>
        <w:t>), (</w:t>
      </w:r>
      <w:proofErr w:type="spellStart"/>
      <w:r w:rsidRPr="00BB64FF">
        <w:rPr>
          <w:szCs w:val="22"/>
        </w:rPr>
        <w:t>i</w:t>
      </w:r>
      <w:proofErr w:type="spellEnd"/>
      <w:r w:rsidRPr="00BB64FF">
        <w:rPr>
          <w:szCs w:val="22"/>
        </w:rPr>
        <w:t>)(2)(</w:t>
      </w:r>
      <w:proofErr w:type="spellStart"/>
      <w:r w:rsidRPr="00BB64FF">
        <w:rPr>
          <w:szCs w:val="22"/>
        </w:rPr>
        <w:t>i</w:t>
      </w:r>
      <w:proofErr w:type="spellEnd"/>
      <w:r w:rsidRPr="00BB64FF">
        <w:rPr>
          <w:szCs w:val="22"/>
        </w:rPr>
        <w:t>), (</w:t>
      </w:r>
      <w:proofErr w:type="spellStart"/>
      <w:r w:rsidRPr="00BB64FF">
        <w:rPr>
          <w:szCs w:val="22"/>
        </w:rPr>
        <w:t>i</w:t>
      </w:r>
      <w:proofErr w:type="spellEnd"/>
      <w:r w:rsidRPr="00BB64FF">
        <w:rPr>
          <w:szCs w:val="22"/>
        </w:rPr>
        <w:t>)(3)(</w:t>
      </w:r>
      <w:proofErr w:type="spellStart"/>
      <w:r w:rsidRPr="00BB64FF">
        <w:rPr>
          <w:szCs w:val="22"/>
        </w:rPr>
        <w:t>i</w:t>
      </w:r>
      <w:proofErr w:type="spellEnd"/>
      <w:r w:rsidRPr="00BB64FF">
        <w:rPr>
          <w:szCs w:val="22"/>
        </w:rPr>
        <w:t>), (j)(1)(</w:t>
      </w:r>
      <w:proofErr w:type="spellStart"/>
      <w:r w:rsidRPr="00BB64FF">
        <w:rPr>
          <w:szCs w:val="22"/>
        </w:rPr>
        <w:t>i</w:t>
      </w:r>
      <w:proofErr w:type="spellEnd"/>
      <w:r w:rsidRPr="00BB64FF">
        <w:rPr>
          <w:szCs w:val="22"/>
        </w:rPr>
        <w:t>), (j)(2)(</w:t>
      </w:r>
      <w:proofErr w:type="spellStart"/>
      <w:r w:rsidRPr="00BB64FF">
        <w:rPr>
          <w:szCs w:val="22"/>
        </w:rPr>
        <w:t>i</w:t>
      </w:r>
      <w:proofErr w:type="spellEnd"/>
      <w:r w:rsidRPr="00BB64FF">
        <w:rPr>
          <w:szCs w:val="22"/>
        </w:rPr>
        <w:t>), (j)(3)(</w:t>
      </w:r>
      <w:proofErr w:type="spellStart"/>
      <w:r w:rsidRPr="00BB64FF">
        <w:rPr>
          <w:szCs w:val="22"/>
        </w:rPr>
        <w:t>i</w:t>
      </w:r>
      <w:proofErr w:type="spellEnd"/>
      <w:r w:rsidRPr="00BB64FF">
        <w:rPr>
          <w:szCs w:val="22"/>
        </w:rPr>
        <w:t>), (l)(1)(</w:t>
      </w:r>
      <w:proofErr w:type="spellStart"/>
      <w:r w:rsidRPr="00BB64FF">
        <w:rPr>
          <w:szCs w:val="22"/>
        </w:rPr>
        <w:t>i</w:t>
      </w:r>
      <w:proofErr w:type="spellEnd"/>
      <w:r w:rsidRPr="00BB64FF">
        <w:rPr>
          <w:szCs w:val="22"/>
        </w:rPr>
        <w:t>), (l)(1)(ii), or (l)(2). The owner or operator shall calculate SO</w:t>
      </w:r>
      <w:r w:rsidRPr="00F4004E">
        <w:rPr>
          <w:szCs w:val="22"/>
          <w:vertAlign w:val="subscript"/>
        </w:rPr>
        <w:t>2</w:t>
      </w:r>
      <w:r w:rsidRPr="00BB64FF">
        <w:rPr>
          <w:szCs w:val="22"/>
        </w:rPr>
        <w:t xml:space="preserve"> emissions as 1.660 × 10−7 lb/scf-ppm times the average hourly SO</w:t>
      </w:r>
      <w:r w:rsidRPr="00F4004E">
        <w:rPr>
          <w:szCs w:val="22"/>
          <w:vertAlign w:val="subscript"/>
        </w:rPr>
        <w:t>2</w:t>
      </w:r>
      <w:r w:rsidRPr="00BB64FF">
        <w:rPr>
          <w:szCs w:val="22"/>
        </w:rPr>
        <w:t xml:space="preserve"> output concentration in ppm (measured according to the provisions of § </w:t>
      </w:r>
      <w:proofErr w:type="gramStart"/>
      <w:r w:rsidRPr="00BB64FF">
        <w:rPr>
          <w:szCs w:val="22"/>
        </w:rPr>
        <w:t>60.49Da(</w:t>
      </w:r>
      <w:proofErr w:type="gramEnd"/>
      <w:r w:rsidRPr="00BB64FF">
        <w:rPr>
          <w:szCs w:val="22"/>
        </w:rPr>
        <w:t>b)), times the average hourly flow rate (measured according to the provisions of § 60.49Da(l) or § 60.49Da(m)), divided by the average hourly gross energy output (measured according to the provisions of § 60.49Da(k)) or the average hourly net energy output, as applicable. Alternatively, for oil-fired and gas-fired units, SO</w:t>
      </w:r>
      <w:r w:rsidRPr="00F4004E">
        <w:rPr>
          <w:szCs w:val="22"/>
          <w:vertAlign w:val="subscript"/>
        </w:rPr>
        <w:t>2</w:t>
      </w:r>
      <w:r w:rsidRPr="00BB64FF">
        <w:rPr>
          <w:szCs w:val="22"/>
        </w:rPr>
        <w:t xml:space="preserve"> emissions may be calculated by multiplying the hourly SO</w:t>
      </w:r>
      <w:r w:rsidRPr="00F4004E">
        <w:rPr>
          <w:szCs w:val="22"/>
          <w:vertAlign w:val="subscript"/>
        </w:rPr>
        <w:t>2</w:t>
      </w:r>
      <w:r w:rsidRPr="00BB64FF">
        <w:rPr>
          <w:szCs w:val="22"/>
        </w:rPr>
        <w:t xml:space="preserve"> emission rate (in lb/MMBtu), measured by the CEMS required under § 60.49Da, by the hourly heat input rate (measured according to the provisions of § </w:t>
      </w:r>
      <w:proofErr w:type="gramStart"/>
      <w:r w:rsidRPr="00BB64FF">
        <w:rPr>
          <w:szCs w:val="22"/>
        </w:rPr>
        <w:t>60.49Da(</w:t>
      </w:r>
      <w:proofErr w:type="gramEnd"/>
      <w:r w:rsidRPr="00BB64FF">
        <w:rPr>
          <w:szCs w:val="22"/>
        </w:rPr>
        <w:t>n)), and dividing the result by the average gross energy output (measured according to the provisions of § 60.49Da(k)) or the average hourly net energy output, as applicable.</w:t>
      </w:r>
    </w:p>
    <w:p w:rsidR="00BB64FF" w:rsidRPr="00BB64FF" w:rsidRDefault="00BB64FF" w:rsidP="00BB64FF">
      <w:pPr>
        <w:spacing w:after="40"/>
        <w:ind w:left="20"/>
        <w:rPr>
          <w:szCs w:val="22"/>
        </w:rPr>
      </w:pPr>
      <w:r w:rsidRPr="00BB64FF">
        <w:rPr>
          <w:szCs w:val="22"/>
        </w:rPr>
        <w:t>(n) Compliance provisions for sources subject to § 60.42Da(c</w:t>
      </w:r>
      <w:proofErr w:type="gramStart"/>
      <w:r w:rsidRPr="00BB64FF">
        <w:rPr>
          <w:szCs w:val="22"/>
        </w:rPr>
        <w:t>)(</w:t>
      </w:r>
      <w:proofErr w:type="gramEnd"/>
      <w:r w:rsidRPr="00BB64FF">
        <w:rPr>
          <w:szCs w:val="22"/>
        </w:rPr>
        <w:t>1) or (e)(1)(</w:t>
      </w:r>
      <w:proofErr w:type="spellStart"/>
      <w:r w:rsidRPr="00BB64FF">
        <w:rPr>
          <w:szCs w:val="22"/>
        </w:rPr>
        <w:t>i</w:t>
      </w:r>
      <w:proofErr w:type="spellEnd"/>
      <w:r w:rsidRPr="00BB64FF">
        <w:rPr>
          <w:szCs w:val="22"/>
        </w:rPr>
        <w:t xml:space="preserve">). The owner or operator shall calculate PM emissions by multiplying the average hourly PM output concentration (measured according to the provisions of § </w:t>
      </w:r>
      <w:proofErr w:type="gramStart"/>
      <w:r w:rsidRPr="00BB64FF">
        <w:rPr>
          <w:szCs w:val="22"/>
        </w:rPr>
        <w:t>60.49Da(</w:t>
      </w:r>
      <w:proofErr w:type="gramEnd"/>
      <w:r w:rsidRPr="00BB64FF">
        <w:rPr>
          <w:szCs w:val="22"/>
        </w:rPr>
        <w:t>t)), by the average hourly flow rate (measured according to the provisions of § 60.49Da(l) or § 60.49Da(m)), and dividing by the average hourly gross energy output (measured according to the provisions of § 60.49Da(k)) or the average hourly net energy output, as applicable.</w:t>
      </w:r>
    </w:p>
    <w:p w:rsidR="00BB64FF" w:rsidRPr="00BB64FF" w:rsidRDefault="00BB64FF" w:rsidP="00BB64FF">
      <w:pPr>
        <w:spacing w:after="40"/>
        <w:ind w:left="20"/>
        <w:rPr>
          <w:szCs w:val="22"/>
        </w:rPr>
      </w:pPr>
      <w:r w:rsidRPr="00BB64FF">
        <w:rPr>
          <w:szCs w:val="22"/>
        </w:rPr>
        <w:t>(o) Compliance provisions for sources subject to § 60.42Da(c</w:t>
      </w:r>
      <w:proofErr w:type="gramStart"/>
      <w:r w:rsidRPr="00BB64FF">
        <w:rPr>
          <w:szCs w:val="22"/>
        </w:rPr>
        <w:t>)(</w:t>
      </w:r>
      <w:proofErr w:type="gramEnd"/>
      <w:r w:rsidRPr="00BB64FF">
        <w:rPr>
          <w:szCs w:val="22"/>
        </w:rPr>
        <w:t>2), (d), or (e)(1)(ii). Except as provided for in paragraph (p) of this section, the owner or operator must demonstrate compliance with each applicable emissions limit according to the requirements in paragraphs (o</w:t>
      </w:r>
      <w:proofErr w:type="gramStart"/>
      <w:r w:rsidRPr="00BB64FF">
        <w:rPr>
          <w:szCs w:val="22"/>
        </w:rPr>
        <w:t>)(</w:t>
      </w:r>
      <w:proofErr w:type="gramEnd"/>
      <w:r w:rsidRPr="00BB64FF">
        <w:rPr>
          <w:szCs w:val="22"/>
        </w:rPr>
        <w:t>1) through (o)(5) of this section.</w:t>
      </w:r>
    </w:p>
    <w:p w:rsidR="00BB64FF" w:rsidRPr="00BB64FF" w:rsidRDefault="00BB64FF" w:rsidP="00BB64FF">
      <w:pPr>
        <w:spacing w:after="40"/>
        <w:ind w:left="20"/>
        <w:rPr>
          <w:szCs w:val="22"/>
        </w:rPr>
      </w:pPr>
      <w:r w:rsidRPr="00BB64FF">
        <w:rPr>
          <w:szCs w:val="22"/>
        </w:rPr>
        <w:t>(1) You must conduct a performance test to demonstrate initial compliance with the applicable PM emissions limit in § 60.42Da by the applicable date specified in § 60.8(a). Thereafter, you must conduct each subsequent performance test within 12 calendar months following the date the previous performance test was required to be conducted. You must conduct each performance test according to the requirements in § 60.8 using the test methods and procedures in § 60.50Da. The owner or operator of an affected facility that has not operated for 60 consecutive calendar days prior to the date that the subsequent performance test would have been required had the unit been operating is not required to perform the subsequent performance test until 30 calendar days after the next boiler operating day. Requests for additional 30 day extensions shall be granted by the relevant air division or office director of the appropriate Regional Office of the U.S. EPA.</w:t>
      </w:r>
    </w:p>
    <w:p w:rsidR="00BB64FF" w:rsidRPr="00BB64FF" w:rsidRDefault="00BB64FF" w:rsidP="00BB64FF">
      <w:pPr>
        <w:spacing w:after="40"/>
        <w:ind w:left="20"/>
        <w:rPr>
          <w:szCs w:val="22"/>
        </w:rPr>
      </w:pPr>
      <w:r w:rsidRPr="00BB64FF">
        <w:rPr>
          <w:szCs w:val="22"/>
        </w:rPr>
        <w:t>(2) You must monitor the performance of each electrostatic precipitator or fabric filter (baghouse) operated to comply with the applicable PM emissions limit in § 60.42Da using a continuous opacity monitoring system (COMS) according to the requirements in paragraphs (o</w:t>
      </w:r>
      <w:proofErr w:type="gramStart"/>
      <w:r w:rsidRPr="00BB64FF">
        <w:rPr>
          <w:szCs w:val="22"/>
        </w:rPr>
        <w:t>)(</w:t>
      </w:r>
      <w:proofErr w:type="gramEnd"/>
      <w:r w:rsidRPr="00BB64FF">
        <w:rPr>
          <w:szCs w:val="22"/>
        </w:rPr>
        <w:t>2)(</w:t>
      </w:r>
      <w:proofErr w:type="spellStart"/>
      <w:r w:rsidRPr="00BB64FF">
        <w:rPr>
          <w:szCs w:val="22"/>
        </w:rPr>
        <w:t>i</w:t>
      </w:r>
      <w:proofErr w:type="spellEnd"/>
      <w:r w:rsidRPr="00BB64FF">
        <w:rPr>
          <w:szCs w:val="22"/>
        </w:rPr>
        <w:t>) through (vi) unless you elect to comply with one of the alternatives provided in paragraphs (o)(3) and (o)(4) of this section, as applicable to your control device.</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Each COMS must meet Performance Specification 1 in 40 CFR </w:t>
      </w:r>
      <w:proofErr w:type="gramStart"/>
      <w:r w:rsidRPr="00BB64FF">
        <w:rPr>
          <w:szCs w:val="22"/>
        </w:rPr>
        <w:t>part</w:t>
      </w:r>
      <w:proofErr w:type="gramEnd"/>
      <w:r w:rsidRPr="00BB64FF">
        <w:rPr>
          <w:szCs w:val="22"/>
        </w:rPr>
        <w:t xml:space="preserve"> 60, appendix B.</w:t>
      </w:r>
    </w:p>
    <w:p w:rsidR="00BB64FF" w:rsidRPr="00BB64FF" w:rsidRDefault="00BB64FF" w:rsidP="00BB64FF">
      <w:pPr>
        <w:spacing w:after="40"/>
        <w:ind w:left="20"/>
        <w:rPr>
          <w:szCs w:val="22"/>
        </w:rPr>
      </w:pPr>
      <w:r w:rsidRPr="00BB64FF">
        <w:rPr>
          <w:szCs w:val="22"/>
        </w:rPr>
        <w:t>(ii) You must comply with the quality assurance requirements in paragraphs (o</w:t>
      </w:r>
      <w:proofErr w:type="gramStart"/>
      <w:r w:rsidRPr="00BB64FF">
        <w:rPr>
          <w:szCs w:val="22"/>
        </w:rPr>
        <w:t>)(</w:t>
      </w:r>
      <w:proofErr w:type="gramEnd"/>
      <w:r w:rsidRPr="00BB64FF">
        <w:rPr>
          <w:szCs w:val="22"/>
        </w:rPr>
        <w:t>2)(ii)(A) through (E) of this section.</w:t>
      </w:r>
    </w:p>
    <w:p w:rsidR="00BB64FF" w:rsidRPr="00BB64FF" w:rsidRDefault="00BB64FF" w:rsidP="00BB64FF">
      <w:pPr>
        <w:spacing w:after="40"/>
        <w:ind w:left="20"/>
        <w:rPr>
          <w:szCs w:val="22"/>
        </w:rPr>
      </w:pPr>
      <w:r w:rsidRPr="00BB64FF">
        <w:rPr>
          <w:szCs w:val="22"/>
        </w:rPr>
        <w:lastRenderedPageBreak/>
        <w:t xml:space="preserve">(A) You must automatically (intrinsic to the opacity monitor) check the zero and upscale (span) calibration drifts at least once daily. </w:t>
      </w:r>
      <w:proofErr w:type="gramStart"/>
      <w:r w:rsidRPr="00BB64FF">
        <w:rPr>
          <w:szCs w:val="22"/>
        </w:rPr>
        <w:t>For a</w:t>
      </w:r>
      <w:proofErr w:type="gramEnd"/>
      <w:r w:rsidRPr="00BB64FF">
        <w:rPr>
          <w:szCs w:val="22"/>
        </w:rPr>
        <w:t xml:space="preserve"> particular COMS, the acceptable range of zero and upscale calibration materials is as defined in the applicable version of Performance Specification 1 in 40 CFR part 60, appendix B.</w:t>
      </w:r>
    </w:p>
    <w:p w:rsidR="00BB64FF" w:rsidRPr="00BB64FF" w:rsidRDefault="00BB64FF" w:rsidP="00BB64FF">
      <w:pPr>
        <w:spacing w:after="40"/>
        <w:ind w:left="20"/>
        <w:rPr>
          <w:szCs w:val="22"/>
        </w:rPr>
      </w:pPr>
      <w:r w:rsidRPr="00BB64FF">
        <w:rPr>
          <w:szCs w:val="22"/>
        </w:rPr>
        <w:t>(B) You must adjust the zero and span whenever the 24-hour zero drift or 24-hour span drift exceeds 4 percent opacity. The COMS must allow for the amount of excess zero and span drift measured at the 24-hour interval checks to be recorded and quantified. The optical surfaces exposed to the effluent gases must be cleaned prior to performing the zero and span drift adjustments, except for systems using automatic zero adjustments. For systems using automatic zero adjustments, the optical surfaces must be cleaned when the cumulative automatic zero compensation exceeds 4 percent opacity.</w:t>
      </w:r>
    </w:p>
    <w:p w:rsidR="00BB64FF" w:rsidRPr="00BB64FF" w:rsidRDefault="00BB64FF" w:rsidP="00BB64FF">
      <w:pPr>
        <w:spacing w:after="40"/>
        <w:ind w:left="20"/>
        <w:rPr>
          <w:szCs w:val="22"/>
        </w:rPr>
      </w:pPr>
      <w:r w:rsidRPr="00BB64FF">
        <w:rPr>
          <w:szCs w:val="22"/>
        </w:rPr>
        <w:t xml:space="preserve">(C) You must apply a method for producing a simulated zero opacity condition and an upscale (span) opacity condition using a certified neutral density filter or other related technique to produce a known obscuration of the light beam. All procedures applied must provide a system check of the analyzer internal optical surfaces and all electronic circuitry including the lamp and </w:t>
      </w:r>
      <w:proofErr w:type="spellStart"/>
      <w:r w:rsidRPr="00BB64FF">
        <w:rPr>
          <w:szCs w:val="22"/>
        </w:rPr>
        <w:t>photodetector</w:t>
      </w:r>
      <w:proofErr w:type="spellEnd"/>
      <w:r w:rsidRPr="00BB64FF">
        <w:rPr>
          <w:szCs w:val="22"/>
        </w:rPr>
        <w:t xml:space="preserve"> assembly.</w:t>
      </w:r>
    </w:p>
    <w:p w:rsidR="00BB64FF" w:rsidRPr="00BB64FF" w:rsidRDefault="00BB64FF" w:rsidP="00BB64FF">
      <w:pPr>
        <w:spacing w:after="40"/>
        <w:ind w:left="20"/>
        <w:rPr>
          <w:szCs w:val="22"/>
        </w:rPr>
      </w:pPr>
      <w:r w:rsidRPr="00BB64FF">
        <w:rPr>
          <w:szCs w:val="22"/>
        </w:rPr>
        <w:t>(D) Except during periods of system breakdowns, repairs, calibration checks, and zero and span adjustments, the COMS must be in continuous operation and must complete a minimum of one cycle of sampling and analyzing for each successive 10 second period and one cycle of data recording for each successive 6-minute period.</w:t>
      </w:r>
    </w:p>
    <w:p w:rsidR="00BB64FF" w:rsidRPr="00BB64FF" w:rsidRDefault="00BB64FF" w:rsidP="00BB64FF">
      <w:pPr>
        <w:spacing w:after="40"/>
        <w:ind w:left="20"/>
        <w:rPr>
          <w:szCs w:val="22"/>
        </w:rPr>
      </w:pPr>
      <w:r w:rsidRPr="00BB64FF">
        <w:rPr>
          <w:szCs w:val="22"/>
        </w:rPr>
        <w:t>(E) You must reduce all data from the COMS to 6-minute averages. Six-minute opacity averages must be calculated from 36 or more data points equally spaced over each 6-minute period. Data recorded during periods of system breakdowns, repairs, calibration checks, and zero and span adjustments must not be included in the data averages. An arithmetic or integrated average of all data may be used.</w:t>
      </w:r>
    </w:p>
    <w:p w:rsidR="00BB64FF" w:rsidRPr="00BB64FF" w:rsidRDefault="00BB64FF" w:rsidP="00BB64FF">
      <w:pPr>
        <w:spacing w:after="40"/>
        <w:ind w:left="20"/>
        <w:rPr>
          <w:szCs w:val="22"/>
        </w:rPr>
      </w:pPr>
      <w:r w:rsidRPr="00BB64FF">
        <w:rPr>
          <w:szCs w:val="22"/>
        </w:rPr>
        <w:t>(iii) During each performance test conducted according to paragraph (o</w:t>
      </w:r>
      <w:proofErr w:type="gramStart"/>
      <w:r w:rsidRPr="00BB64FF">
        <w:rPr>
          <w:szCs w:val="22"/>
        </w:rPr>
        <w:t>)(</w:t>
      </w:r>
      <w:proofErr w:type="gramEnd"/>
      <w:r w:rsidRPr="00BB64FF">
        <w:rPr>
          <w:szCs w:val="22"/>
        </w:rPr>
        <w:t>1) of this section, you must establish an opacity baseline level. The value of the opacity baseline level is determined by averaging all of the 6-minute average opacity values (reported to the nearest 0.1 percent opacity) from the COMS measurements recorded during each of the test run intervals conducted for the performance test, and then adding 2.5 percent opacity to your calculated average opacity value for all of the test runs. If your opacity baseline level is less than 5.0 percent, then the opacity baseline level is set at 5.0 percent.</w:t>
      </w:r>
    </w:p>
    <w:p w:rsidR="00BB64FF" w:rsidRPr="00BB64FF" w:rsidRDefault="00BB64FF" w:rsidP="00BB64FF">
      <w:pPr>
        <w:spacing w:after="40"/>
        <w:ind w:left="20"/>
        <w:rPr>
          <w:szCs w:val="22"/>
        </w:rPr>
      </w:pPr>
      <w:proofErr w:type="gramStart"/>
      <w:r w:rsidRPr="00BB64FF">
        <w:rPr>
          <w:szCs w:val="22"/>
        </w:rPr>
        <w:t>(iv) You</w:t>
      </w:r>
      <w:proofErr w:type="gramEnd"/>
      <w:r w:rsidRPr="00BB64FF">
        <w:rPr>
          <w:szCs w:val="22"/>
        </w:rPr>
        <w:t xml:space="preserve"> must evaluate the preceding 24-hour average opacity level measured by the COMS each boiler operating day excluding periods of affected facility startup, shutdown, or malfunction. If the measured 24-hour average opacity emission level is greater than the baseline opacity level determined in paragraph (o)(2)(iii) of this section, you must initiate investigation of the relevant equipment and control systems within 24 hours of the first discovery of the high opacity incident and take the appropriate corrective action as soon as practicable to adjust control settings or repair equipment to reduce the measured 24-hour average opacity to a level below the baseline opacity level. In cases when a wet scrubber is used in combination with another PM control device that serves as the primary PM control device, the wet scrubber must be maintained and operated.</w:t>
      </w:r>
    </w:p>
    <w:p w:rsidR="00BB64FF" w:rsidRPr="00BB64FF" w:rsidRDefault="00BB64FF" w:rsidP="00BB64FF">
      <w:pPr>
        <w:spacing w:after="40"/>
        <w:ind w:left="20"/>
        <w:rPr>
          <w:szCs w:val="22"/>
        </w:rPr>
      </w:pPr>
      <w:r w:rsidRPr="00BB64FF">
        <w:rPr>
          <w:szCs w:val="22"/>
        </w:rPr>
        <w:t>(v) You must record the opacity measurements, calculations performed, and any corrective actions taken. The record of corrective action taken must include the date and time during which the measured 24-hour average opacity was greater than baseline opacity level, and the date, time, and description of the corrective action.</w:t>
      </w:r>
    </w:p>
    <w:p w:rsidR="00BB64FF" w:rsidRPr="00BB64FF" w:rsidRDefault="00BB64FF" w:rsidP="00BB64FF">
      <w:pPr>
        <w:spacing w:after="40"/>
        <w:ind w:left="20"/>
        <w:rPr>
          <w:szCs w:val="22"/>
        </w:rPr>
      </w:pPr>
      <w:r w:rsidRPr="00BB64FF">
        <w:rPr>
          <w:szCs w:val="22"/>
        </w:rPr>
        <w:t>(vi) If the measured 24-hour average opacity for your affected facility remains at a level greater than the opacity baseline level after 7 boiler operating days, then you must conduct a new PM performance test according to paragraph (o)(1) of this section and establish a new opacity baseline value according to paragraph (o)(2) of this section. This new performance test must be conducted within 60 days of the date that the measured 24-hour average opacity was first determined to exceed the baseline opacity level unless a waiver is granted by the permitting authority.</w:t>
      </w:r>
    </w:p>
    <w:p w:rsidR="00BB64FF" w:rsidRPr="00BB64FF" w:rsidRDefault="00BB64FF" w:rsidP="00BB64FF">
      <w:pPr>
        <w:spacing w:after="40"/>
        <w:ind w:left="20"/>
        <w:rPr>
          <w:szCs w:val="22"/>
        </w:rPr>
      </w:pPr>
      <w:r w:rsidRPr="00BB64FF">
        <w:rPr>
          <w:szCs w:val="22"/>
        </w:rPr>
        <w:t>(3) As an alternative to complying with the requirements of paragraph (o</w:t>
      </w:r>
      <w:proofErr w:type="gramStart"/>
      <w:r w:rsidRPr="00BB64FF">
        <w:rPr>
          <w:szCs w:val="22"/>
        </w:rPr>
        <w:t>)(</w:t>
      </w:r>
      <w:proofErr w:type="gramEnd"/>
      <w:r w:rsidRPr="00BB64FF">
        <w:rPr>
          <w:szCs w:val="22"/>
        </w:rPr>
        <w:t>2) of this section, an owner or operator may elect to monitor the performance of an electrostatic precipitator (ESP) operated to comply with the applicable PM emissions limit in § 60.42Da using an ESP predictive model developed in accordance with the requirements in paragraphs (o)(3)(</w:t>
      </w:r>
      <w:proofErr w:type="spellStart"/>
      <w:r w:rsidRPr="00BB64FF">
        <w:rPr>
          <w:szCs w:val="22"/>
        </w:rPr>
        <w:t>i</w:t>
      </w:r>
      <w:proofErr w:type="spellEnd"/>
      <w:r w:rsidRPr="00BB64FF">
        <w:rPr>
          <w:szCs w:val="22"/>
        </w:rPr>
        <w:t>) through (v) of this section.</w:t>
      </w:r>
    </w:p>
    <w:p w:rsidR="00BB64FF" w:rsidRPr="00BB64FF" w:rsidRDefault="00BB64FF" w:rsidP="00BB64FF">
      <w:pPr>
        <w:spacing w:after="40"/>
        <w:ind w:left="20"/>
        <w:rPr>
          <w:szCs w:val="22"/>
        </w:rPr>
      </w:pPr>
      <w:r w:rsidRPr="00BB64FF">
        <w:rPr>
          <w:szCs w:val="22"/>
        </w:rPr>
        <w:lastRenderedPageBreak/>
        <w:t>(</w:t>
      </w:r>
      <w:proofErr w:type="spellStart"/>
      <w:r w:rsidRPr="00BB64FF">
        <w:rPr>
          <w:szCs w:val="22"/>
        </w:rPr>
        <w:t>i</w:t>
      </w:r>
      <w:proofErr w:type="spellEnd"/>
      <w:r w:rsidRPr="00BB64FF">
        <w:rPr>
          <w:szCs w:val="22"/>
        </w:rPr>
        <w:t>) You must calibrate the ESP predictive model with each PM control device used to comply with the applicable PM emissions limit in § 60.42Da operating under normal conditions. In cases when a wet scrubber is used in combination with an ESP to comply with the PM emissions limit, the wet scrubber must be maintained and operated.</w:t>
      </w:r>
    </w:p>
    <w:p w:rsidR="00BB64FF" w:rsidRPr="00BB64FF" w:rsidRDefault="00BB64FF" w:rsidP="00BB64FF">
      <w:pPr>
        <w:spacing w:after="40"/>
        <w:ind w:left="20"/>
        <w:rPr>
          <w:szCs w:val="22"/>
        </w:rPr>
      </w:pPr>
      <w:r w:rsidRPr="00BB64FF">
        <w:rPr>
          <w:szCs w:val="22"/>
        </w:rPr>
        <w:t>(ii) You must develop a site-specific monitoring plan that includes a description of the ESP predictive model used, the model input parameters, and the procedures and criteria for establishing monitoring parameter baseline levels indicative of compliance with the PM emissions limit. You must submit the site-specific monitoring plan for approval by the permitting authority. For reference purposes in preparing the monitoring plan, see the OAQPS “Compliance Assurance Monitoring (CAM) Protocol for an Electrostatic Precipitator (ESP) Controlling Particulate Matter (PM) Emissions from a Coal-Fired Boiler.” This document is available from the U.S. Environmental Protection Agency (U.S. EPA); Office of Air Quality Planning and Standards; Sector Policies and Programs Division; Measurement Policy Group (D243-02), Research Triangle Park, NC 27711. This document is also available on the Technology Transfer Network (TTN) under Emission Measurement Center Continuous Emission Monitoring.</w:t>
      </w:r>
    </w:p>
    <w:p w:rsidR="00BB64FF" w:rsidRPr="00BB64FF" w:rsidRDefault="00BB64FF" w:rsidP="00BB64FF">
      <w:pPr>
        <w:spacing w:after="40"/>
        <w:ind w:left="20"/>
        <w:rPr>
          <w:szCs w:val="22"/>
        </w:rPr>
      </w:pPr>
      <w:r w:rsidRPr="00BB64FF">
        <w:rPr>
          <w:szCs w:val="22"/>
        </w:rPr>
        <w:t>(iii) You must run the ESP predictive model using the applicable input data each boiler operating day and evaluate the model output for the preceding boiler operating day excluding periods of affected facility startup, shutdown, or malfunction. If the values for one or more of the model parameters exceed the applicable baseline levels determined according to your approved site-specific monitoring plan, you must initiate investigation of the relevant equipment and control systems within 24 hours of the first discovery of a model parameter deviation and, take the appropriate corrective action as soon as practicable to adjust control settings or repair equipment to return the model output to within the applicable baseline levels.</w:t>
      </w:r>
    </w:p>
    <w:p w:rsidR="00BB64FF" w:rsidRPr="00BB64FF" w:rsidRDefault="00BB64FF" w:rsidP="00BB64FF">
      <w:pPr>
        <w:spacing w:after="40"/>
        <w:ind w:left="20"/>
        <w:rPr>
          <w:szCs w:val="22"/>
        </w:rPr>
      </w:pPr>
      <w:proofErr w:type="gramStart"/>
      <w:r w:rsidRPr="00BB64FF">
        <w:rPr>
          <w:szCs w:val="22"/>
        </w:rPr>
        <w:t>(iv) You</w:t>
      </w:r>
      <w:proofErr w:type="gramEnd"/>
      <w:r w:rsidRPr="00BB64FF">
        <w:rPr>
          <w:szCs w:val="22"/>
        </w:rPr>
        <w:t xml:space="preserve"> must record the ESP predictive model inputs and outputs and any corrective actions taken. The record of corrective action taken must include the date and time during which the model output values exceeded the applicable baseline levels, and the date, time, and description of the corrective action.</w:t>
      </w:r>
    </w:p>
    <w:p w:rsidR="00BB64FF" w:rsidRPr="00BB64FF" w:rsidRDefault="00BB64FF" w:rsidP="00BB64FF">
      <w:pPr>
        <w:spacing w:after="40"/>
        <w:ind w:left="20"/>
        <w:rPr>
          <w:szCs w:val="22"/>
        </w:rPr>
      </w:pPr>
      <w:r w:rsidRPr="00BB64FF">
        <w:rPr>
          <w:szCs w:val="22"/>
        </w:rPr>
        <w:t>(v) If after 7 consecutive days a model parameter continues to exceed the applicable baseline level, then you must conduct a new PM performance test according to paragraph (o</w:t>
      </w:r>
      <w:proofErr w:type="gramStart"/>
      <w:r w:rsidRPr="00BB64FF">
        <w:rPr>
          <w:szCs w:val="22"/>
        </w:rPr>
        <w:t>)(</w:t>
      </w:r>
      <w:proofErr w:type="gramEnd"/>
      <w:r w:rsidRPr="00BB64FF">
        <w:rPr>
          <w:szCs w:val="22"/>
        </w:rPr>
        <w:t>1) of this section. This new performance test must be conducted within 60 calendar days of the date that the model parameter was first determined to exceed its baseline level unless a waiver is granted by the permitting authority.</w:t>
      </w:r>
    </w:p>
    <w:p w:rsidR="00BB64FF" w:rsidRPr="00BB64FF" w:rsidRDefault="00BB64FF" w:rsidP="00BB64FF">
      <w:pPr>
        <w:spacing w:after="40"/>
        <w:ind w:left="20"/>
        <w:rPr>
          <w:szCs w:val="22"/>
        </w:rPr>
      </w:pPr>
      <w:r w:rsidRPr="00BB64FF">
        <w:rPr>
          <w:szCs w:val="22"/>
        </w:rPr>
        <w:t>(4) As an alternative to complying with the requirements of paragraph (o</w:t>
      </w:r>
      <w:proofErr w:type="gramStart"/>
      <w:r w:rsidRPr="00BB64FF">
        <w:rPr>
          <w:szCs w:val="22"/>
        </w:rPr>
        <w:t>)(</w:t>
      </w:r>
      <w:proofErr w:type="gramEnd"/>
      <w:r w:rsidRPr="00BB64FF">
        <w:rPr>
          <w:szCs w:val="22"/>
        </w:rPr>
        <w:t>2) of this section, an owner or operator may elect to monitor the performance of a fabric filter (baghouse) operated to comply with the applicable PM emissions limit in § 60.42Da by using a bag leak detection system according to the requirements in paragraphs (o)(4)(</w:t>
      </w:r>
      <w:proofErr w:type="spellStart"/>
      <w:r w:rsidRPr="00BB64FF">
        <w:rPr>
          <w:szCs w:val="22"/>
        </w:rPr>
        <w:t>i</w:t>
      </w:r>
      <w:proofErr w:type="spellEnd"/>
      <w:r w:rsidRPr="00BB64FF">
        <w:rPr>
          <w:szCs w:val="22"/>
        </w:rPr>
        <w:t>) through (v)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Each bag leak detection system must meet the specifications and requirements in paragraphs (o</w:t>
      </w:r>
      <w:proofErr w:type="gramStart"/>
      <w:r w:rsidRPr="00BB64FF">
        <w:rPr>
          <w:szCs w:val="22"/>
        </w:rPr>
        <w:t>)(</w:t>
      </w:r>
      <w:proofErr w:type="gramEnd"/>
      <w:r w:rsidRPr="00BB64FF">
        <w:rPr>
          <w:szCs w:val="22"/>
        </w:rPr>
        <w:t>4)(</w:t>
      </w:r>
      <w:proofErr w:type="spellStart"/>
      <w:r w:rsidRPr="00BB64FF">
        <w:rPr>
          <w:szCs w:val="22"/>
        </w:rPr>
        <w:t>i</w:t>
      </w:r>
      <w:proofErr w:type="spellEnd"/>
      <w:r w:rsidRPr="00BB64FF">
        <w:rPr>
          <w:szCs w:val="22"/>
        </w:rPr>
        <w:t>)(A) through (H) of this section.</w:t>
      </w:r>
    </w:p>
    <w:p w:rsidR="00BB64FF" w:rsidRPr="00BB64FF" w:rsidRDefault="00BB64FF" w:rsidP="00BB64FF">
      <w:pPr>
        <w:spacing w:after="40"/>
        <w:ind w:left="20"/>
        <w:rPr>
          <w:szCs w:val="22"/>
        </w:rPr>
      </w:pPr>
      <w:r w:rsidRPr="00BB64FF">
        <w:rPr>
          <w:szCs w:val="22"/>
        </w:rPr>
        <w:t>(A) The bag leak detection system must be certified by the manufacturer to be capable of detecting PM emissions at concentrations of 1 milligram per actual cubic meter (0.00044 grains per actual cubic foot) or less.</w:t>
      </w:r>
    </w:p>
    <w:p w:rsidR="00BB64FF" w:rsidRPr="00BB64FF" w:rsidRDefault="00BB64FF" w:rsidP="00BB64FF">
      <w:pPr>
        <w:spacing w:after="40"/>
        <w:ind w:left="20"/>
        <w:rPr>
          <w:szCs w:val="22"/>
        </w:rPr>
      </w:pPr>
      <w:r w:rsidRPr="00BB64FF">
        <w:rPr>
          <w:szCs w:val="22"/>
        </w:rPr>
        <w:t xml:space="preserve">(B) The bag leak detection system sensor must provide output of relative PM loadings. The owner or operator must continuously record the output from the bag leak detection system using electronic or other means </w:t>
      </w:r>
      <w:proofErr w:type="gramStart"/>
      <w:r w:rsidRPr="00BB64FF">
        <w:rPr>
          <w:szCs w:val="22"/>
        </w:rPr>
        <w:t>( e.g</w:t>
      </w:r>
      <w:proofErr w:type="gramEnd"/>
      <w:r w:rsidRPr="00BB64FF">
        <w:rPr>
          <w:szCs w:val="22"/>
        </w:rPr>
        <w:t>. , using a strip chart recorder or a data logger.)</w:t>
      </w:r>
    </w:p>
    <w:p w:rsidR="00BB64FF" w:rsidRPr="00BB64FF" w:rsidRDefault="00BB64FF" w:rsidP="00BB64FF">
      <w:pPr>
        <w:spacing w:after="40"/>
        <w:ind w:left="20"/>
        <w:rPr>
          <w:szCs w:val="22"/>
        </w:rPr>
      </w:pPr>
      <w:r w:rsidRPr="00BB64FF">
        <w:rPr>
          <w:szCs w:val="22"/>
        </w:rPr>
        <w:t>(C) The bag leak detection system must be equipped with an alarm system that will react when the system detects an increase in relative particulate loading over the alarm set point established according to paragraph (o)(4)(</w:t>
      </w:r>
      <w:proofErr w:type="spellStart"/>
      <w:r w:rsidRPr="00BB64FF">
        <w:rPr>
          <w:szCs w:val="22"/>
        </w:rPr>
        <w:t>i</w:t>
      </w:r>
      <w:proofErr w:type="spellEnd"/>
      <w:r w:rsidRPr="00BB64FF">
        <w:rPr>
          <w:szCs w:val="22"/>
        </w:rPr>
        <w:t>)(D) of this section, and the alarm must be located such that it can be noticed by the appropriate plant personnel.</w:t>
      </w:r>
    </w:p>
    <w:p w:rsidR="00BB64FF" w:rsidRPr="00BB64FF" w:rsidRDefault="00BB64FF" w:rsidP="00BB64FF">
      <w:pPr>
        <w:spacing w:after="40"/>
        <w:ind w:left="20"/>
        <w:rPr>
          <w:szCs w:val="22"/>
        </w:rPr>
      </w:pPr>
      <w:r w:rsidRPr="00BB64FF">
        <w:rPr>
          <w:szCs w:val="22"/>
        </w:rPr>
        <w:t>(D) In the initial adjustment of the bag leak detection system, you must establish, at a minimum, the baseline output by adjusting the sensitivity (range) and the averaging period of the device, the alarm set points, and the alarm delay time.</w:t>
      </w:r>
    </w:p>
    <w:p w:rsidR="00BB64FF" w:rsidRPr="00BB64FF" w:rsidRDefault="00BB64FF" w:rsidP="00BB64FF">
      <w:pPr>
        <w:spacing w:after="40"/>
        <w:ind w:left="20"/>
        <w:rPr>
          <w:szCs w:val="22"/>
        </w:rPr>
      </w:pPr>
      <w:r w:rsidRPr="00BB64FF">
        <w:rPr>
          <w:szCs w:val="22"/>
        </w:rPr>
        <w:lastRenderedPageBreak/>
        <w:t>(E) Following initial adjustment, you must not adjust the averaging period, alarm set point, or alarm delay time without approval from the permitting authority except as provided in paragraph (d)(1)(vi) of this section.</w:t>
      </w:r>
    </w:p>
    <w:p w:rsidR="00BB64FF" w:rsidRPr="00BB64FF" w:rsidRDefault="00BB64FF" w:rsidP="00BB64FF">
      <w:pPr>
        <w:spacing w:after="40"/>
        <w:ind w:left="20"/>
        <w:rPr>
          <w:szCs w:val="22"/>
        </w:rPr>
      </w:pPr>
      <w:r w:rsidRPr="00BB64FF">
        <w:rPr>
          <w:szCs w:val="22"/>
        </w:rPr>
        <w:t>(F) Once per quarter, you may adjust the sensitivity of the bag leak detection system to account for seasonal effects, including temperature and humidity, according to the procedures identified in the site-specific monitoring plan required by paragraph (o)(4)(ii) of this section.</w:t>
      </w:r>
    </w:p>
    <w:p w:rsidR="00BB64FF" w:rsidRPr="00BB64FF" w:rsidRDefault="00BB64FF" w:rsidP="00BB64FF">
      <w:pPr>
        <w:spacing w:after="40"/>
        <w:ind w:left="20"/>
        <w:rPr>
          <w:szCs w:val="22"/>
        </w:rPr>
      </w:pPr>
      <w:r w:rsidRPr="00BB64FF">
        <w:rPr>
          <w:szCs w:val="22"/>
        </w:rPr>
        <w:t>(G) You must install the bag leak detection sensor downstream of the fabric filter and upstream of any wet scrubber.</w:t>
      </w:r>
    </w:p>
    <w:p w:rsidR="00BB64FF" w:rsidRPr="00BB64FF" w:rsidRDefault="00BB64FF" w:rsidP="00BB64FF">
      <w:pPr>
        <w:spacing w:after="40"/>
        <w:ind w:left="20"/>
        <w:rPr>
          <w:szCs w:val="22"/>
        </w:rPr>
      </w:pPr>
      <w:r w:rsidRPr="00BB64FF">
        <w:rPr>
          <w:szCs w:val="22"/>
        </w:rPr>
        <w:t>(H) Where multiple detectors are required, the system's instrumentation and alarm may be shared among detectors.</w:t>
      </w:r>
    </w:p>
    <w:p w:rsidR="00BB64FF" w:rsidRPr="00BB64FF" w:rsidRDefault="00BB64FF" w:rsidP="00BB64FF">
      <w:pPr>
        <w:spacing w:after="40"/>
        <w:ind w:left="20"/>
        <w:rPr>
          <w:szCs w:val="22"/>
        </w:rPr>
      </w:pPr>
      <w:r w:rsidRPr="00BB64FF">
        <w:rPr>
          <w:szCs w:val="22"/>
        </w:rPr>
        <w:t>(ii) You must develop and submit to the permitting authority for approval a site-specific monitoring plan for each bag leak detection system. You must operate and maintain the bag leak detection system according to the site-specific monitoring plan at all times. Each monitoring plan must describe the items in paragraphs (o</w:t>
      </w:r>
      <w:proofErr w:type="gramStart"/>
      <w:r w:rsidRPr="00BB64FF">
        <w:rPr>
          <w:szCs w:val="22"/>
        </w:rPr>
        <w:t>)(</w:t>
      </w:r>
      <w:proofErr w:type="gramEnd"/>
      <w:r w:rsidRPr="00BB64FF">
        <w:rPr>
          <w:szCs w:val="22"/>
        </w:rPr>
        <w:t>4)(ii)(A) through (F) of this section.</w:t>
      </w:r>
    </w:p>
    <w:p w:rsidR="00BB64FF" w:rsidRPr="00BB64FF" w:rsidRDefault="00BB64FF" w:rsidP="00BB64FF">
      <w:pPr>
        <w:spacing w:after="40"/>
        <w:ind w:left="20"/>
        <w:rPr>
          <w:szCs w:val="22"/>
        </w:rPr>
      </w:pPr>
      <w:r w:rsidRPr="00BB64FF">
        <w:rPr>
          <w:szCs w:val="22"/>
        </w:rPr>
        <w:t>(A) Installation of the bag leak detection system;</w:t>
      </w:r>
    </w:p>
    <w:p w:rsidR="00BB64FF" w:rsidRPr="00BB64FF" w:rsidRDefault="00BB64FF" w:rsidP="00BB64FF">
      <w:pPr>
        <w:spacing w:after="40"/>
        <w:ind w:left="20"/>
        <w:rPr>
          <w:szCs w:val="22"/>
        </w:rPr>
      </w:pPr>
      <w:r w:rsidRPr="00BB64FF">
        <w:rPr>
          <w:szCs w:val="22"/>
        </w:rPr>
        <w:t>(B) Initial and periodic adjustment of the bag leak detection system, including how the alarm set-point will be established;</w:t>
      </w:r>
    </w:p>
    <w:p w:rsidR="00BB64FF" w:rsidRPr="00BB64FF" w:rsidRDefault="00BB64FF" w:rsidP="00BB64FF">
      <w:pPr>
        <w:spacing w:after="40"/>
        <w:ind w:left="20"/>
        <w:rPr>
          <w:szCs w:val="22"/>
        </w:rPr>
      </w:pPr>
      <w:r w:rsidRPr="00BB64FF">
        <w:rPr>
          <w:szCs w:val="22"/>
        </w:rPr>
        <w:t>(C) Operation of the bag leak detection system, including quality assurance procedures;</w:t>
      </w:r>
    </w:p>
    <w:p w:rsidR="00BB64FF" w:rsidRPr="00BB64FF" w:rsidRDefault="00BB64FF" w:rsidP="00BB64FF">
      <w:pPr>
        <w:spacing w:after="40"/>
        <w:ind w:left="20"/>
        <w:rPr>
          <w:szCs w:val="22"/>
        </w:rPr>
      </w:pPr>
      <w:r w:rsidRPr="00BB64FF">
        <w:rPr>
          <w:szCs w:val="22"/>
        </w:rPr>
        <w:t>(D) How the bag leak detection system will be maintained, including a routine maintenance schedule and spare parts inventory list;</w:t>
      </w:r>
    </w:p>
    <w:p w:rsidR="00BB64FF" w:rsidRPr="00BB64FF" w:rsidRDefault="00BB64FF" w:rsidP="00BB64FF">
      <w:pPr>
        <w:spacing w:after="40"/>
        <w:ind w:left="20"/>
        <w:rPr>
          <w:szCs w:val="22"/>
        </w:rPr>
      </w:pPr>
      <w:r w:rsidRPr="00BB64FF">
        <w:rPr>
          <w:szCs w:val="22"/>
        </w:rPr>
        <w:t>(E) How the bag leak detection system output will be recorded and stored; and</w:t>
      </w:r>
    </w:p>
    <w:p w:rsidR="00BB64FF" w:rsidRPr="00BB64FF" w:rsidRDefault="00BB64FF" w:rsidP="00BB64FF">
      <w:pPr>
        <w:spacing w:after="40"/>
        <w:ind w:left="20"/>
        <w:rPr>
          <w:szCs w:val="22"/>
        </w:rPr>
      </w:pPr>
      <w:r w:rsidRPr="00BB64FF">
        <w:rPr>
          <w:szCs w:val="22"/>
        </w:rPr>
        <w:t>(F) Corrective action procedures as specified in paragraph (o</w:t>
      </w:r>
      <w:proofErr w:type="gramStart"/>
      <w:r w:rsidRPr="00BB64FF">
        <w:rPr>
          <w:szCs w:val="22"/>
        </w:rPr>
        <w:t>)(</w:t>
      </w:r>
      <w:proofErr w:type="gramEnd"/>
      <w:r w:rsidRPr="00BB64FF">
        <w:rPr>
          <w:szCs w:val="22"/>
        </w:rPr>
        <w:t>4)(iii) of this section. In approving the site-specific monitoring plan, the permitting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BB64FF" w:rsidRPr="00BB64FF" w:rsidRDefault="00BB64FF" w:rsidP="00BB64FF">
      <w:pPr>
        <w:spacing w:after="40"/>
        <w:ind w:left="20"/>
        <w:rPr>
          <w:szCs w:val="22"/>
        </w:rPr>
      </w:pPr>
      <w:r w:rsidRPr="00BB64FF">
        <w:rPr>
          <w:szCs w:val="22"/>
        </w:rPr>
        <w:t>(iii) For each bag leak detection system, you must initiate procedures to determine the cause of every alarm within 1 hour of the alarm. Except as provided in paragraph (o</w:t>
      </w:r>
      <w:proofErr w:type="gramStart"/>
      <w:r w:rsidRPr="00BB64FF">
        <w:rPr>
          <w:szCs w:val="22"/>
        </w:rPr>
        <w:t>)(</w:t>
      </w:r>
      <w:proofErr w:type="gramEnd"/>
      <w:r w:rsidRPr="00BB64FF">
        <w:rPr>
          <w:szCs w:val="22"/>
        </w:rPr>
        <w:t>4)(ii)(F) of this section, you must alleviate the cause of the alarm within 3 hours of the alarm by taking whatever corrective action(s) are necessary. Corrective actions may include, but are not limited to the following:</w:t>
      </w:r>
    </w:p>
    <w:p w:rsidR="00BB64FF" w:rsidRPr="00BB64FF" w:rsidRDefault="00BB64FF" w:rsidP="00BB64FF">
      <w:pPr>
        <w:spacing w:after="40"/>
        <w:ind w:left="20"/>
        <w:rPr>
          <w:szCs w:val="22"/>
        </w:rPr>
      </w:pPr>
      <w:r w:rsidRPr="00BB64FF">
        <w:rPr>
          <w:szCs w:val="22"/>
        </w:rPr>
        <w:t>(A) Inspecting the fabric filter for air leaks, torn or broken bags or filter media, or any other condition that may cause an increase in particulate emissions;</w:t>
      </w:r>
    </w:p>
    <w:p w:rsidR="00BB64FF" w:rsidRPr="00BB64FF" w:rsidRDefault="00BB64FF" w:rsidP="00BB64FF">
      <w:pPr>
        <w:spacing w:after="40"/>
        <w:ind w:left="20"/>
        <w:rPr>
          <w:szCs w:val="22"/>
        </w:rPr>
      </w:pPr>
      <w:r w:rsidRPr="00BB64FF">
        <w:rPr>
          <w:szCs w:val="22"/>
        </w:rPr>
        <w:t>(B) Sealing off defective bags or filter media;</w:t>
      </w:r>
    </w:p>
    <w:p w:rsidR="00BB64FF" w:rsidRPr="00BB64FF" w:rsidRDefault="00BB64FF" w:rsidP="00BB64FF">
      <w:pPr>
        <w:spacing w:after="40"/>
        <w:ind w:left="20"/>
        <w:rPr>
          <w:szCs w:val="22"/>
        </w:rPr>
      </w:pPr>
      <w:r w:rsidRPr="00BB64FF">
        <w:rPr>
          <w:szCs w:val="22"/>
        </w:rPr>
        <w:t>(C) Replacing defective bags or filter media or otherwise repairing the control device;</w:t>
      </w:r>
    </w:p>
    <w:p w:rsidR="00BB64FF" w:rsidRPr="00BB64FF" w:rsidRDefault="00BB64FF" w:rsidP="00BB64FF">
      <w:pPr>
        <w:spacing w:after="40"/>
        <w:ind w:left="20"/>
        <w:rPr>
          <w:szCs w:val="22"/>
        </w:rPr>
      </w:pPr>
      <w:r w:rsidRPr="00BB64FF">
        <w:rPr>
          <w:szCs w:val="22"/>
        </w:rPr>
        <w:t>(D) Sealing off a defective fabric filter compartment;</w:t>
      </w:r>
    </w:p>
    <w:p w:rsidR="00BB64FF" w:rsidRPr="00BB64FF" w:rsidRDefault="00BB64FF" w:rsidP="00BB64FF">
      <w:pPr>
        <w:spacing w:after="40"/>
        <w:ind w:left="20"/>
        <w:rPr>
          <w:szCs w:val="22"/>
        </w:rPr>
      </w:pPr>
      <w:r w:rsidRPr="00BB64FF">
        <w:rPr>
          <w:szCs w:val="22"/>
        </w:rPr>
        <w:t>(E) Cleaning the bag leak detection system probe or otherwise repairing the bag leak detection system; or</w:t>
      </w:r>
    </w:p>
    <w:p w:rsidR="00BB64FF" w:rsidRPr="00BB64FF" w:rsidRDefault="00BB64FF" w:rsidP="00BB64FF">
      <w:pPr>
        <w:spacing w:after="40"/>
        <w:ind w:left="20"/>
        <w:rPr>
          <w:szCs w:val="22"/>
        </w:rPr>
      </w:pPr>
      <w:r w:rsidRPr="00BB64FF">
        <w:rPr>
          <w:szCs w:val="22"/>
        </w:rPr>
        <w:t>(F) Shutting down the process producing the particulate emissions.</w:t>
      </w:r>
    </w:p>
    <w:p w:rsidR="00BB64FF" w:rsidRPr="00BB64FF" w:rsidRDefault="00BB64FF" w:rsidP="00BB64FF">
      <w:pPr>
        <w:spacing w:after="40"/>
        <w:ind w:left="20"/>
        <w:rPr>
          <w:szCs w:val="22"/>
        </w:rPr>
      </w:pPr>
      <w:r w:rsidRPr="00BB64FF">
        <w:rPr>
          <w:szCs w:val="22"/>
        </w:rPr>
        <w:t>(iv) You must maintain records of the information specified in paragraphs (o</w:t>
      </w:r>
      <w:proofErr w:type="gramStart"/>
      <w:r w:rsidRPr="00BB64FF">
        <w:rPr>
          <w:szCs w:val="22"/>
        </w:rPr>
        <w:t>)(</w:t>
      </w:r>
      <w:proofErr w:type="gramEnd"/>
      <w:r w:rsidRPr="00BB64FF">
        <w:rPr>
          <w:szCs w:val="22"/>
        </w:rPr>
        <w:t>4)(iv)(A) through (C) of this section for each bag leak detection system.</w:t>
      </w:r>
    </w:p>
    <w:p w:rsidR="00BB64FF" w:rsidRPr="00BB64FF" w:rsidRDefault="00BB64FF" w:rsidP="00BB64FF">
      <w:pPr>
        <w:spacing w:after="40"/>
        <w:ind w:left="20"/>
        <w:rPr>
          <w:szCs w:val="22"/>
        </w:rPr>
      </w:pPr>
      <w:r w:rsidRPr="00BB64FF">
        <w:rPr>
          <w:szCs w:val="22"/>
        </w:rPr>
        <w:t>(A) Records of the bag leak detection system output;</w:t>
      </w:r>
    </w:p>
    <w:p w:rsidR="00BB64FF" w:rsidRPr="00BB64FF" w:rsidRDefault="00BB64FF" w:rsidP="00BB64FF">
      <w:pPr>
        <w:spacing w:after="40"/>
        <w:ind w:left="20"/>
        <w:rPr>
          <w:szCs w:val="22"/>
        </w:rPr>
      </w:pPr>
      <w:r w:rsidRPr="00BB64FF">
        <w:rPr>
          <w:szCs w:val="22"/>
        </w:rPr>
        <w:t>(B) Records of bag leak detection system adjustments, including the date and time of the adjustment, the initial bag leak detection system settings, and the final bag leak detection system settings; and</w:t>
      </w:r>
    </w:p>
    <w:p w:rsidR="00BB64FF" w:rsidRPr="00BB64FF" w:rsidRDefault="00BB64FF" w:rsidP="00BB64FF">
      <w:pPr>
        <w:spacing w:after="40"/>
        <w:ind w:left="20"/>
        <w:rPr>
          <w:szCs w:val="22"/>
        </w:rPr>
      </w:pPr>
      <w:r w:rsidRPr="00BB64FF">
        <w:rPr>
          <w:szCs w:val="22"/>
        </w:rPr>
        <w:t xml:space="preserve">(C) The date and time of all bag leak detection system alarms, the time that procedures to determine the cause of the alarm were initiated, if procedures were initiated within 1 hour of the alarm, the cause of the alarm, an </w:t>
      </w:r>
      <w:r w:rsidRPr="00BB64FF">
        <w:rPr>
          <w:szCs w:val="22"/>
        </w:rPr>
        <w:lastRenderedPageBreak/>
        <w:t>explanation of the actions taken, the date and time the cause of the alarm was alleviated, and if the alarm was alleviated within 3 hours of the alarm.</w:t>
      </w:r>
    </w:p>
    <w:p w:rsidR="00BB64FF" w:rsidRPr="00BB64FF" w:rsidRDefault="00BB64FF" w:rsidP="00BB64FF">
      <w:pPr>
        <w:spacing w:after="40"/>
        <w:ind w:left="20"/>
        <w:rPr>
          <w:szCs w:val="22"/>
        </w:rPr>
      </w:pPr>
      <w:r w:rsidRPr="00BB64FF">
        <w:rPr>
          <w:szCs w:val="22"/>
        </w:rPr>
        <w:t>(v) If after any period composed of 30 boiler operating days during which the alarm rate exceeds 5 percent of the process operating time (excluding control device or process startup, shutdown, and malfunction), then you must conduct a new PM performance test according to paragraph (o)(1) of this section. This new performance test must be conducted within 60 calendar days of the date that the alarm rate was first determined to exceed 5 percent limit unless a waiver is granted by the permitting authority.</w:t>
      </w:r>
    </w:p>
    <w:p w:rsidR="00BB64FF" w:rsidRPr="00BB64FF" w:rsidRDefault="00BB64FF" w:rsidP="00BB64FF">
      <w:pPr>
        <w:spacing w:after="40"/>
        <w:ind w:left="20"/>
        <w:rPr>
          <w:szCs w:val="22"/>
        </w:rPr>
      </w:pPr>
      <w:r w:rsidRPr="00BB64FF">
        <w:rPr>
          <w:szCs w:val="22"/>
        </w:rPr>
        <w:t xml:space="preserve">(5) An owner or operator of a modified affected facility electing to meet the emission limitations in § </w:t>
      </w:r>
      <w:proofErr w:type="gramStart"/>
      <w:r w:rsidRPr="00BB64FF">
        <w:rPr>
          <w:szCs w:val="22"/>
        </w:rPr>
        <w:t>60.42Da(</w:t>
      </w:r>
      <w:proofErr w:type="gramEnd"/>
      <w:r w:rsidRPr="00BB64FF">
        <w:rPr>
          <w:szCs w:val="22"/>
        </w:rPr>
        <w:t>d) shall determine the percent reduction in PM by using the emission rate for PM determined by the performance test conducted according to the requirements in paragraph (o)(1) of this section and the ash content on a mass basis of the fuel burned during each performance test run as determined by analysis of the fuel as fired.</w:t>
      </w:r>
    </w:p>
    <w:p w:rsidR="00BB64FF" w:rsidRPr="00BB64FF" w:rsidRDefault="00BB64FF" w:rsidP="00BB64FF">
      <w:pPr>
        <w:spacing w:after="40"/>
        <w:ind w:left="20"/>
        <w:rPr>
          <w:szCs w:val="22"/>
        </w:rPr>
      </w:pPr>
      <w:r w:rsidRPr="00BB64FF">
        <w:rPr>
          <w:szCs w:val="22"/>
        </w:rPr>
        <w:t>(p) As an alternative to meeting the compliance provisions specified in paragraph (o) of this section, an owner or operator may elect to install, evaluate, maintain, and operate a CEMS measuring PM emissions discharged from the affected facility to the atmosphere and record the output of the system as specified in paragraphs (p)(1) through (p)(8) of this section.</w:t>
      </w:r>
    </w:p>
    <w:p w:rsidR="00BB64FF" w:rsidRPr="00BB64FF" w:rsidRDefault="00BB64FF" w:rsidP="00BB64FF">
      <w:pPr>
        <w:spacing w:after="40"/>
        <w:ind w:left="20"/>
        <w:rPr>
          <w:szCs w:val="22"/>
        </w:rPr>
      </w:pPr>
      <w:r w:rsidRPr="00BB64FF">
        <w:rPr>
          <w:szCs w:val="22"/>
        </w:rPr>
        <w:t>(1) The owner or operator shall submit a written notification to the Administrator of intent to demonstrate compliance with this subpart by using a CEMS measuring PM. This notification shall be sent at least 30 calendar days before the initial startup of the monitor for compliance determination purposes. The owner or operator may discontinue operation of the monitor and instead return to demonstration of compliance with this subpart according to the requirements in paragraph (o) of this section by submitting written notification to the Administrator of such intent at least 30 calendar days before shutdown of the monitor for compliance determination purposes.</w:t>
      </w:r>
    </w:p>
    <w:p w:rsidR="00BB64FF" w:rsidRPr="00BB64FF" w:rsidRDefault="00BB64FF" w:rsidP="00BB64FF">
      <w:pPr>
        <w:spacing w:after="40"/>
        <w:ind w:left="20"/>
        <w:rPr>
          <w:szCs w:val="22"/>
        </w:rPr>
      </w:pPr>
      <w:r w:rsidRPr="00BB64FF">
        <w:rPr>
          <w:szCs w:val="22"/>
        </w:rPr>
        <w:t xml:space="preserve">(2) Each CEMS shall be installed, evaluated, operated, and maintained according to the requirements in § </w:t>
      </w:r>
      <w:proofErr w:type="gramStart"/>
      <w:r w:rsidRPr="00BB64FF">
        <w:rPr>
          <w:szCs w:val="22"/>
        </w:rPr>
        <w:t>60.49Da(</w:t>
      </w:r>
      <w:proofErr w:type="gramEnd"/>
      <w:r w:rsidRPr="00BB64FF">
        <w:rPr>
          <w:szCs w:val="22"/>
        </w:rPr>
        <w:t>v).</w:t>
      </w:r>
    </w:p>
    <w:p w:rsidR="00BB64FF" w:rsidRPr="00BB64FF" w:rsidRDefault="00BB64FF" w:rsidP="00BB64FF">
      <w:pPr>
        <w:spacing w:after="40"/>
        <w:ind w:left="20"/>
        <w:rPr>
          <w:szCs w:val="22"/>
        </w:rPr>
      </w:pPr>
      <w:r w:rsidRPr="00BB64FF">
        <w:rPr>
          <w:szCs w:val="22"/>
        </w:rPr>
        <w:t>(3) The initial performance evaluation shall be completed no later than 180 days after the date of initial startup of the affected facility, as specified under § 60.8 of subpart A of this part or within 180 days of the date of notification to the Administrator required under paragraph (p)(1) of this section, whichever is later.</w:t>
      </w:r>
    </w:p>
    <w:p w:rsidR="00BB64FF" w:rsidRPr="00BB64FF" w:rsidRDefault="00BB64FF" w:rsidP="00BB64FF">
      <w:pPr>
        <w:spacing w:after="40"/>
        <w:ind w:left="20"/>
        <w:rPr>
          <w:szCs w:val="22"/>
        </w:rPr>
      </w:pPr>
      <w:r w:rsidRPr="00BB64FF">
        <w:rPr>
          <w:szCs w:val="22"/>
        </w:rPr>
        <w:t>(4) Compliance with the applicable emissions limit shall be determined based on the 24-hour daily (block) average of the hourly arithmetic average emissions concentrations using the continuous monitoring system outlet data. The 24-hour block arithmetic average emission concentration shall be calculated using EPA Reference Method 19 of appendix A of this part, section 4.1.</w:t>
      </w:r>
    </w:p>
    <w:p w:rsidR="00BB64FF" w:rsidRPr="00BB64FF" w:rsidRDefault="00BB64FF" w:rsidP="00BB64FF">
      <w:pPr>
        <w:spacing w:after="40"/>
        <w:ind w:left="20"/>
        <w:rPr>
          <w:szCs w:val="22"/>
        </w:rPr>
      </w:pPr>
      <w:r w:rsidRPr="00BB64FF">
        <w:rPr>
          <w:szCs w:val="22"/>
        </w:rPr>
        <w:t>(5) At a minimum, non-out-of-control CEMS hourly averages shall be obtained for 75 percent of all operating hours on a 30-boiler operating day rolling average basis. Beginning on January 1, 2012, non-out-of-control CEMS hourly averages shall be obtained for 90 percent of all operating hours on a 30-boiler operating day rolling average basis.</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At least two data points per hour shall be used to calculate each 1-hour arithmetic average.</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(ii) [Reserved]</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 xml:space="preserve">(6) The 1-hour arithmetic averages required shall be expressed in </w:t>
      </w:r>
      <w:proofErr w:type="spellStart"/>
      <w:r w:rsidRPr="00BB64FF">
        <w:rPr>
          <w:szCs w:val="22"/>
        </w:rPr>
        <w:t>ng</w:t>
      </w:r>
      <w:proofErr w:type="spellEnd"/>
      <w:r w:rsidRPr="00BB64FF">
        <w:rPr>
          <w:szCs w:val="22"/>
        </w:rPr>
        <w:t xml:space="preserve">/J, </w:t>
      </w:r>
      <w:proofErr w:type="spellStart"/>
      <w:r w:rsidRPr="00BB64FF">
        <w:rPr>
          <w:szCs w:val="22"/>
        </w:rPr>
        <w:t>MMBtu</w:t>
      </w:r>
      <w:proofErr w:type="spellEnd"/>
      <w:r w:rsidRPr="00BB64FF">
        <w:rPr>
          <w:szCs w:val="22"/>
        </w:rPr>
        <w:t>/hr, or lb/</w:t>
      </w:r>
      <w:proofErr w:type="spellStart"/>
      <w:r w:rsidRPr="00BB64FF">
        <w:rPr>
          <w:szCs w:val="22"/>
        </w:rPr>
        <w:t>MWh</w:t>
      </w:r>
      <w:proofErr w:type="spellEnd"/>
      <w:r w:rsidRPr="00BB64FF">
        <w:rPr>
          <w:szCs w:val="22"/>
        </w:rPr>
        <w:t xml:space="preserve"> and shall be used to calculate the boiler operating day daily arithmetic average emission concentrations. The 1-hour arithmetic averages shall be calculated using the data points required under § 60.13(e</w:t>
      </w:r>
      <w:proofErr w:type="gramStart"/>
      <w:r w:rsidRPr="00BB64FF">
        <w:rPr>
          <w:szCs w:val="22"/>
        </w:rPr>
        <w:t>)(</w:t>
      </w:r>
      <w:proofErr w:type="gramEnd"/>
      <w:r w:rsidRPr="00BB64FF">
        <w:rPr>
          <w:szCs w:val="22"/>
        </w:rPr>
        <w:t>2) of subpart A of this part.</w:t>
      </w:r>
    </w:p>
    <w:p w:rsidR="00BB64FF" w:rsidRPr="00BB64FF" w:rsidRDefault="00BB64FF" w:rsidP="00BB64FF">
      <w:pPr>
        <w:spacing w:after="40"/>
        <w:ind w:left="20"/>
        <w:rPr>
          <w:szCs w:val="22"/>
        </w:rPr>
      </w:pPr>
      <w:r w:rsidRPr="00BB64FF">
        <w:rPr>
          <w:szCs w:val="22"/>
        </w:rPr>
        <w:t>(7) All non-out-of-control CEMS data shall be used in calculating average emission concentrations even if the minimum CEMS data requirements of paragraph (j</w:t>
      </w:r>
      <w:proofErr w:type="gramStart"/>
      <w:r w:rsidRPr="00BB64FF">
        <w:rPr>
          <w:szCs w:val="22"/>
        </w:rPr>
        <w:t>)(</w:t>
      </w:r>
      <w:proofErr w:type="gramEnd"/>
      <w:r w:rsidRPr="00BB64FF">
        <w:rPr>
          <w:szCs w:val="22"/>
        </w:rPr>
        <w:t>5) of this section are not met.</w:t>
      </w:r>
    </w:p>
    <w:p w:rsidR="00BB64FF" w:rsidRPr="00BB64FF" w:rsidRDefault="00451631" w:rsidP="00BB64FF">
      <w:pPr>
        <w:spacing w:after="40"/>
        <w:ind w:left="20"/>
        <w:rPr>
          <w:szCs w:val="22"/>
        </w:rPr>
      </w:pPr>
      <w:r w:rsidRPr="00BB64FF">
        <w:rPr>
          <w:szCs w:val="22"/>
        </w:rPr>
        <w:lastRenderedPageBreak/>
        <w:t xml:space="preserve"> </w:t>
      </w:r>
      <w:r w:rsidR="00BB64FF" w:rsidRPr="00BB64FF">
        <w:rPr>
          <w:szCs w:val="22"/>
        </w:rPr>
        <w:t>(8)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non-out-of-control emissions data for a minimum of 90 percent (only 75 percent is required prior to January 1, 2012) of all operating hours per 30-boiler operating day rolling average.</w:t>
      </w:r>
    </w:p>
    <w:p w:rsidR="00BB64FF" w:rsidRPr="00BB64FF" w:rsidRDefault="00BB64FF" w:rsidP="00BB64FF">
      <w:pPr>
        <w:spacing w:after="40"/>
        <w:ind w:left="20"/>
        <w:rPr>
          <w:szCs w:val="22"/>
        </w:rPr>
      </w:pPr>
      <w:r w:rsidRPr="00BB64FF">
        <w:rPr>
          <w:szCs w:val="22"/>
        </w:rPr>
        <w:t xml:space="preserve">(q) Compliance provisions for sources subject to § </w:t>
      </w:r>
      <w:proofErr w:type="gramStart"/>
      <w:r w:rsidRPr="00BB64FF">
        <w:rPr>
          <w:szCs w:val="22"/>
        </w:rPr>
        <w:t>60.42Da(</w:t>
      </w:r>
      <w:proofErr w:type="gramEnd"/>
      <w:r w:rsidRPr="00BB64FF">
        <w:rPr>
          <w:szCs w:val="22"/>
        </w:rPr>
        <w:t xml:space="preserve">b) . An owner or operator of an affected facility subject to the opacity standard in § </w:t>
      </w:r>
      <w:proofErr w:type="gramStart"/>
      <w:r w:rsidRPr="00BB64FF">
        <w:rPr>
          <w:szCs w:val="22"/>
        </w:rPr>
        <w:t>60.42Da(</w:t>
      </w:r>
      <w:proofErr w:type="gramEnd"/>
      <w:r w:rsidRPr="00BB64FF">
        <w:rPr>
          <w:szCs w:val="22"/>
        </w:rPr>
        <w:t>b) shall monitor the opacity of emissions discharged from the affected facility to the atmosphere according to the requirements in § 60.49Da(a), as applicable to the affected facility.</w:t>
      </w:r>
    </w:p>
    <w:p w:rsidR="00BB64FF" w:rsidRPr="00BB64FF" w:rsidRDefault="00BB64FF" w:rsidP="00BB64FF">
      <w:pPr>
        <w:spacing w:after="40"/>
        <w:ind w:left="20"/>
        <w:rPr>
          <w:szCs w:val="22"/>
        </w:rPr>
      </w:pPr>
      <w:r w:rsidRPr="00BB64FF">
        <w:rPr>
          <w:szCs w:val="22"/>
        </w:rPr>
        <w:t>(r) Compliance provisions for sources subject to § 60.45Da. To determine compliance with the NOX plus CO emissions limit, the owner or operator shall use the procedures specified in paragraphs (r</w:t>
      </w:r>
      <w:proofErr w:type="gramStart"/>
      <w:r w:rsidRPr="00BB64FF">
        <w:rPr>
          <w:szCs w:val="22"/>
        </w:rPr>
        <w:t>)(</w:t>
      </w:r>
      <w:proofErr w:type="gramEnd"/>
      <w:r w:rsidRPr="00BB64FF">
        <w:rPr>
          <w:szCs w:val="22"/>
        </w:rPr>
        <w:t>1) through (3) of this section.</w:t>
      </w:r>
    </w:p>
    <w:p w:rsidR="00BB64FF" w:rsidRPr="00BB64FF" w:rsidRDefault="00BB64FF" w:rsidP="00BB64FF">
      <w:pPr>
        <w:spacing w:after="40"/>
        <w:ind w:left="20"/>
        <w:rPr>
          <w:szCs w:val="22"/>
        </w:rPr>
      </w:pPr>
      <w:r w:rsidRPr="00BB64FF">
        <w:rPr>
          <w:szCs w:val="22"/>
        </w:rPr>
        <w:t xml:space="preserve">(1) Calculate NOX emissions as 1.194 × 10−7 lb/scf-ppm times the average hourly NOX output concentration in ppm (measured according to the provisions of § 60.49Da(c)), times the average hourly flow rate (measured in </w:t>
      </w:r>
      <w:proofErr w:type="spellStart"/>
      <w:r w:rsidRPr="00BB64FF">
        <w:rPr>
          <w:szCs w:val="22"/>
        </w:rPr>
        <w:t>scfh</w:t>
      </w:r>
      <w:proofErr w:type="spellEnd"/>
      <w:r w:rsidRPr="00BB64FF">
        <w:rPr>
          <w:szCs w:val="22"/>
        </w:rPr>
        <w:t>, according to the provisions of § 60.49Da(l) or § 60.49Da(m)), divided by the average hourly gross energy output (measured according to the provisions of § 60.49Da(k)) or the average hourly net energy output, as applicable.</w:t>
      </w:r>
    </w:p>
    <w:p w:rsidR="00BB64FF" w:rsidRPr="00BB64FF" w:rsidRDefault="00BB64FF" w:rsidP="00BB64FF">
      <w:pPr>
        <w:spacing w:after="40"/>
        <w:ind w:left="20"/>
        <w:rPr>
          <w:szCs w:val="22"/>
        </w:rPr>
      </w:pPr>
      <w:r w:rsidRPr="00BB64FF">
        <w:rPr>
          <w:szCs w:val="22"/>
        </w:rPr>
        <w:t xml:space="preserve">(2) Calculate CO emissions by multiplying the average hourly CO output concentration (measured according to the provisions of § </w:t>
      </w:r>
      <w:proofErr w:type="gramStart"/>
      <w:r w:rsidRPr="00BB64FF">
        <w:rPr>
          <w:szCs w:val="22"/>
        </w:rPr>
        <w:t>60.49Da(</w:t>
      </w:r>
      <w:proofErr w:type="gramEnd"/>
      <w:r w:rsidRPr="00BB64FF">
        <w:rPr>
          <w:szCs w:val="22"/>
        </w:rPr>
        <w:t>u), by the average hourly flow rate (measured according to the provisions of § 60.49Da(l) or § 60.49Da(m)), and dividing by the average hourly gross energy output (measured according to the provisions of § 60.49Da(k)) or the average hourly net energy output, as applicable.</w:t>
      </w:r>
    </w:p>
    <w:p w:rsidR="00BB64FF" w:rsidRPr="00BB64FF" w:rsidRDefault="00BB64FF" w:rsidP="00BB64FF">
      <w:pPr>
        <w:spacing w:after="40"/>
        <w:ind w:left="20"/>
        <w:rPr>
          <w:szCs w:val="22"/>
        </w:rPr>
      </w:pPr>
      <w:r w:rsidRPr="00BB64FF">
        <w:rPr>
          <w:szCs w:val="22"/>
        </w:rPr>
        <w:t>(3) Calculate NOX plus CO emissions by summing the NOX emissions results from paragraph (r</w:t>
      </w:r>
      <w:proofErr w:type="gramStart"/>
      <w:r w:rsidRPr="00BB64FF">
        <w:rPr>
          <w:szCs w:val="22"/>
        </w:rPr>
        <w:t>)(</w:t>
      </w:r>
      <w:proofErr w:type="gramEnd"/>
      <w:r w:rsidRPr="00BB64FF">
        <w:rPr>
          <w:szCs w:val="22"/>
        </w:rPr>
        <w:t>1) of this section plus the CO emissions results from paragraph (r)(2) of this section.</w:t>
      </w:r>
    </w:p>
    <w:p w:rsidR="00BB64FF" w:rsidRPr="00BB64FF" w:rsidRDefault="00BB64FF" w:rsidP="00BB64FF">
      <w:pPr>
        <w:spacing w:after="40"/>
        <w:ind w:left="20"/>
        <w:rPr>
          <w:szCs w:val="22"/>
        </w:rPr>
      </w:pPr>
      <w:r w:rsidRPr="00BB64FF">
        <w:rPr>
          <w:szCs w:val="22"/>
        </w:rPr>
        <w:t xml:space="preserve">(s) Affirmative defense for exceedance of emissions limit during malfunction. In response to an action to enforce the standards set forth in paragraph §§ 60.42Da, 60.43Da, 60.44Da, and 60.45Da, you may assert an affirmative defense to a claim for civil penalties for </w:t>
      </w:r>
      <w:proofErr w:type="spellStart"/>
      <w:r w:rsidRPr="00BB64FF">
        <w:rPr>
          <w:szCs w:val="22"/>
        </w:rPr>
        <w:t>exceedances</w:t>
      </w:r>
      <w:proofErr w:type="spellEnd"/>
      <w:r w:rsidRPr="00BB64FF">
        <w:rPr>
          <w:szCs w:val="22"/>
        </w:rPr>
        <w:t xml:space="preserve"> of such standards that are caused by malfunction, as defined at 40 CFR 60.2. Appropriate penalties may be assessed, however, if you fail to meet your burden of proving all of the requirements in the affirmative defense as specified in paragraphs (s</w:t>
      </w:r>
      <w:proofErr w:type="gramStart"/>
      <w:r w:rsidRPr="00BB64FF">
        <w:rPr>
          <w:szCs w:val="22"/>
        </w:rPr>
        <w:t>)(</w:t>
      </w:r>
      <w:proofErr w:type="gramEnd"/>
      <w:r w:rsidRPr="00BB64FF">
        <w:rPr>
          <w:szCs w:val="22"/>
        </w:rPr>
        <w:t>1) and (2) of this section. The affirmative defense shall not be available for claims for injunctive relief.</w:t>
      </w:r>
    </w:p>
    <w:p w:rsidR="00BB64FF" w:rsidRPr="00BB64FF" w:rsidRDefault="00BB64FF" w:rsidP="00BB64FF">
      <w:pPr>
        <w:spacing w:after="40"/>
        <w:ind w:left="20"/>
        <w:rPr>
          <w:szCs w:val="22"/>
        </w:rPr>
      </w:pPr>
      <w:r w:rsidRPr="00BB64FF">
        <w:rPr>
          <w:szCs w:val="22"/>
        </w:rPr>
        <w:t>(1) To establish the affirmative defense in any action to enforce such a limit, you must timely meet the notification requirements in paragraph (s</w:t>
      </w:r>
      <w:proofErr w:type="gramStart"/>
      <w:r w:rsidRPr="00BB64FF">
        <w:rPr>
          <w:szCs w:val="22"/>
        </w:rPr>
        <w:t>)(</w:t>
      </w:r>
      <w:proofErr w:type="gramEnd"/>
      <w:r w:rsidRPr="00BB64FF">
        <w:rPr>
          <w:szCs w:val="22"/>
        </w:rPr>
        <w:t>2) of this section, and must prove by a preponderance of evidence that:</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The excess emissions:</w:t>
      </w:r>
    </w:p>
    <w:p w:rsidR="00BB64FF" w:rsidRPr="00BB64FF" w:rsidRDefault="00BB64FF" w:rsidP="00BB64FF">
      <w:pPr>
        <w:spacing w:after="40"/>
        <w:ind w:left="20"/>
        <w:rPr>
          <w:szCs w:val="22"/>
        </w:rPr>
      </w:pPr>
      <w:r w:rsidRPr="00BB64FF">
        <w:rPr>
          <w:szCs w:val="22"/>
        </w:rPr>
        <w:t>(A) Were caused by a sudden, infrequent, and unavoidable failure of air pollution control and monitoring equipment, process equipment, or a process to operate in a normal or usual manner; and</w:t>
      </w:r>
    </w:p>
    <w:p w:rsidR="00BB64FF" w:rsidRPr="00BB64FF" w:rsidRDefault="00BB64FF" w:rsidP="00BB64FF">
      <w:pPr>
        <w:spacing w:after="40"/>
        <w:ind w:left="20"/>
        <w:rPr>
          <w:szCs w:val="22"/>
        </w:rPr>
      </w:pPr>
      <w:r w:rsidRPr="00BB64FF">
        <w:rPr>
          <w:szCs w:val="22"/>
        </w:rPr>
        <w:t>(B) Could not have been prevented through careful planning, proper design, or better operation and maintenance practices; and</w:t>
      </w:r>
    </w:p>
    <w:p w:rsidR="00BB64FF" w:rsidRPr="00BB64FF" w:rsidRDefault="00BB64FF" w:rsidP="00BB64FF">
      <w:pPr>
        <w:spacing w:after="40"/>
        <w:ind w:left="20"/>
        <w:rPr>
          <w:szCs w:val="22"/>
        </w:rPr>
      </w:pPr>
      <w:r w:rsidRPr="00BB64FF">
        <w:rPr>
          <w:szCs w:val="22"/>
        </w:rPr>
        <w:t>(C) Did not stem from any activity or event that could have been foreseen and avoided, or planned for; and</w:t>
      </w:r>
    </w:p>
    <w:p w:rsidR="00BB64FF" w:rsidRPr="00BB64FF" w:rsidRDefault="00BB64FF" w:rsidP="00BB64FF">
      <w:pPr>
        <w:spacing w:after="40"/>
        <w:ind w:left="20"/>
        <w:rPr>
          <w:szCs w:val="22"/>
        </w:rPr>
      </w:pPr>
      <w:r w:rsidRPr="00BB64FF">
        <w:rPr>
          <w:szCs w:val="22"/>
        </w:rPr>
        <w:t>(D) Were not part of a recurring pattern indicative of inadequate design, operation, or maintenance; and</w:t>
      </w:r>
    </w:p>
    <w:p w:rsidR="00BB64FF" w:rsidRPr="00BB64FF" w:rsidRDefault="00BB64FF" w:rsidP="00BB64FF">
      <w:pPr>
        <w:spacing w:after="40"/>
        <w:ind w:left="20"/>
        <w:rPr>
          <w:szCs w:val="22"/>
        </w:rPr>
      </w:pPr>
      <w:r w:rsidRPr="00BB64FF">
        <w:rPr>
          <w:szCs w:val="22"/>
        </w:rPr>
        <w:t>(ii) Repairs were made as expeditiously as possible when the applicable emissions limits were being exceeded. Off-shift and overtime labor were used, to the extent practicable to make these repairs; and</w:t>
      </w:r>
    </w:p>
    <w:p w:rsidR="00BB64FF" w:rsidRPr="00BB64FF" w:rsidRDefault="00BB64FF" w:rsidP="00BB64FF">
      <w:pPr>
        <w:spacing w:after="40"/>
        <w:ind w:left="20"/>
        <w:rPr>
          <w:szCs w:val="22"/>
        </w:rPr>
      </w:pPr>
      <w:r w:rsidRPr="00BB64FF">
        <w:rPr>
          <w:szCs w:val="22"/>
        </w:rPr>
        <w:t>(iii) The frequency, amount, and duration of the excess emissions (including any bypass) were minimized to the maximum extent practicable during periods of such emissions; and</w:t>
      </w:r>
    </w:p>
    <w:p w:rsidR="00BB64FF" w:rsidRPr="00BB64FF" w:rsidRDefault="00BB64FF" w:rsidP="00BB64FF">
      <w:pPr>
        <w:spacing w:after="40"/>
        <w:ind w:left="20"/>
        <w:rPr>
          <w:szCs w:val="22"/>
        </w:rPr>
      </w:pPr>
      <w:r w:rsidRPr="00BB64FF">
        <w:rPr>
          <w:szCs w:val="22"/>
        </w:rPr>
        <w:t>(iv) If the excess emissions resulted from a bypass of control equipment or a process, then the bypass was unavoidable to prevent loss of life, personal injury, or severe property damage; and</w:t>
      </w:r>
    </w:p>
    <w:p w:rsidR="00BB64FF" w:rsidRPr="00BB64FF" w:rsidRDefault="00BB64FF" w:rsidP="00BB64FF">
      <w:pPr>
        <w:spacing w:after="40"/>
        <w:ind w:left="20"/>
        <w:rPr>
          <w:szCs w:val="22"/>
        </w:rPr>
      </w:pPr>
      <w:r w:rsidRPr="00BB64FF">
        <w:rPr>
          <w:szCs w:val="22"/>
        </w:rPr>
        <w:lastRenderedPageBreak/>
        <w:t>(v) All possible steps were taken to minimize the impact of the excess emissions on ambient air quality, the environment, and human health; and</w:t>
      </w:r>
    </w:p>
    <w:p w:rsidR="00BB64FF" w:rsidRPr="00BB64FF" w:rsidRDefault="00BB64FF" w:rsidP="00BB64FF">
      <w:pPr>
        <w:spacing w:after="40"/>
        <w:ind w:left="20"/>
        <w:rPr>
          <w:szCs w:val="22"/>
        </w:rPr>
      </w:pPr>
      <w:r w:rsidRPr="00BB64FF">
        <w:rPr>
          <w:szCs w:val="22"/>
        </w:rPr>
        <w:t>(vi) All emissions monitoring and control systems were kept in operation if at all possible, consistent with safety and good air pollution control practices; and</w:t>
      </w:r>
    </w:p>
    <w:p w:rsidR="00BB64FF" w:rsidRPr="00BB64FF" w:rsidRDefault="00BB64FF" w:rsidP="00BB64FF">
      <w:pPr>
        <w:spacing w:after="40"/>
        <w:ind w:left="20"/>
        <w:rPr>
          <w:szCs w:val="22"/>
        </w:rPr>
      </w:pPr>
      <w:r w:rsidRPr="00BB64FF">
        <w:rPr>
          <w:szCs w:val="22"/>
        </w:rPr>
        <w:t>(vii) All of the actions in response to the excess emissions were documented by properly signed, contemporaneous operating logs; and</w:t>
      </w:r>
    </w:p>
    <w:p w:rsidR="00BB64FF" w:rsidRPr="00BB64FF" w:rsidRDefault="00BB64FF" w:rsidP="00BB64FF">
      <w:pPr>
        <w:spacing w:after="40"/>
        <w:ind w:left="20"/>
        <w:rPr>
          <w:szCs w:val="22"/>
        </w:rPr>
      </w:pPr>
      <w:r w:rsidRPr="00BB64FF">
        <w:rPr>
          <w:szCs w:val="22"/>
        </w:rPr>
        <w:t>(</w:t>
      </w:r>
      <w:proofErr w:type="gramStart"/>
      <w:r w:rsidRPr="00BB64FF">
        <w:rPr>
          <w:szCs w:val="22"/>
        </w:rPr>
        <w:t>viii</w:t>
      </w:r>
      <w:proofErr w:type="gramEnd"/>
      <w:r w:rsidRPr="00BB64FF">
        <w:rPr>
          <w:szCs w:val="22"/>
        </w:rPr>
        <w:t>) At all times, the facility was operated in a manner consistent with good practices for minimizing emissions; and</w:t>
      </w:r>
    </w:p>
    <w:p w:rsidR="00BB64FF" w:rsidRPr="00BB64FF" w:rsidRDefault="00BB64FF" w:rsidP="00BB64FF">
      <w:pPr>
        <w:spacing w:after="40"/>
        <w:ind w:left="20"/>
        <w:rPr>
          <w:szCs w:val="22"/>
        </w:rPr>
      </w:pPr>
      <w:r w:rsidRPr="00BB64FF">
        <w:rPr>
          <w:szCs w:val="22"/>
        </w:rPr>
        <w:t>(ix) A written root cause analysis has been prepared, the purpose of which is to determine, correct, and eliminate the primary causes of the malfunction and the excess emissions resulting from the malfunction event at issue. The analysis shall also specify</w:t>
      </w:r>
      <w:proofErr w:type="gramStart"/>
      <w:r w:rsidRPr="00BB64FF">
        <w:rPr>
          <w:szCs w:val="22"/>
        </w:rPr>
        <w:t>,</w:t>
      </w:r>
      <w:proofErr w:type="gramEnd"/>
      <w:r w:rsidRPr="00BB64FF">
        <w:rPr>
          <w:szCs w:val="22"/>
        </w:rPr>
        <w:t xml:space="preserve"> using best monitoring methods and engineering judgment, the amount of excess emissions that were the result of the malfunction.</w:t>
      </w:r>
    </w:p>
    <w:p w:rsidR="00BB64FF" w:rsidRPr="00BB64FF" w:rsidRDefault="00BB64FF" w:rsidP="00BB64FF">
      <w:pPr>
        <w:spacing w:after="40"/>
        <w:ind w:left="20"/>
        <w:rPr>
          <w:szCs w:val="22"/>
        </w:rPr>
      </w:pPr>
      <w:r w:rsidRPr="00BB64FF">
        <w:rPr>
          <w:szCs w:val="22"/>
        </w:rPr>
        <w:t>(2) Notification. The owner or operator of the affected source experiencing an exceedance of its emission limit(s) during a malfunction shall notify the Administrator by telephone or facsimile (FAX) transmission as soon as possible, but no later than two business days after the initial occurrence of the malfunction or, if it is not possible to determine within two business days whether the malfunction caused or contributed to an exceedance, no later than two business days after the owner or operator knew or should have known that the malfunction caused or contributed to an exceedance, but, in no event later than two business days after the end of the averaging period, if it wishes to avail itself of an affirmative defense to civil penalties for that malfunction. The owner or operator seeking to assert an affirmative defense shall also submit a written report to the Administrator within 45 days of the initial occurrence of the exceedance of the standard in § 63.9991 to demonstrate, with all necessary supporting documentation, that it has met the requirements set forth in paragraph (s)(1) of this section. The owner or operator may seek an extension of this deadline for up to 30 additional days by submitting a written request to the Administrator before the expiration of the 45 day period. Until a request for an extension has been approved by the Administrator, the owner or operator is subject to the requirement to submit such report within 45 days of the initial occurrence of the exceedance.</w:t>
      </w:r>
    </w:p>
    <w:p w:rsidR="00BB64FF" w:rsidRPr="00BB64FF" w:rsidRDefault="00BB64FF" w:rsidP="00BB64FF">
      <w:pPr>
        <w:spacing w:after="40"/>
        <w:ind w:left="20"/>
        <w:rPr>
          <w:szCs w:val="22"/>
        </w:rPr>
      </w:pPr>
      <w:r w:rsidRPr="00BB64FF">
        <w:rPr>
          <w:szCs w:val="22"/>
        </w:rPr>
        <w:t>[72 FR 32722, June 13, 2007, as amended at 74 FR 5079, Jan. 28, 2009; 76 FR 3522, Jan. 20, 2011; 77 FR 9454, Feb. 16, 2012; 78 FR 24083, Apr. 24, 2013]</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60.49Da   Emission monitoring.</w:t>
      </w:r>
      <w:proofErr w:type="gramEnd"/>
    </w:p>
    <w:p w:rsidR="00BB64FF" w:rsidRPr="00BB64FF" w:rsidRDefault="00BB64FF" w:rsidP="00BB64FF">
      <w:pPr>
        <w:spacing w:after="40"/>
        <w:ind w:left="20"/>
        <w:rPr>
          <w:szCs w:val="22"/>
        </w:rPr>
      </w:pPr>
      <w:r w:rsidRPr="00BB64FF">
        <w:rPr>
          <w:szCs w:val="22"/>
        </w:rPr>
        <w:t>(a) An owner or operator of an affected facility subject to the opacity standard in § 60.42Da must monitor the opacity of emissions discharged from the affected facility to the atmosphere according to the applicable requirements in paragraphs (a</w:t>
      </w:r>
      <w:proofErr w:type="gramStart"/>
      <w:r w:rsidRPr="00BB64FF">
        <w:rPr>
          <w:szCs w:val="22"/>
        </w:rPr>
        <w:t>)(</w:t>
      </w:r>
      <w:proofErr w:type="gramEnd"/>
      <w:r w:rsidRPr="00BB64FF">
        <w:rPr>
          <w:szCs w:val="22"/>
        </w:rPr>
        <w:t>1) through (4) of this section.</w:t>
      </w:r>
    </w:p>
    <w:p w:rsidR="00BB64FF" w:rsidRPr="00BB64FF" w:rsidRDefault="00BB64FF" w:rsidP="00BB64FF">
      <w:pPr>
        <w:spacing w:after="40"/>
        <w:ind w:left="20"/>
        <w:rPr>
          <w:szCs w:val="22"/>
        </w:rPr>
      </w:pPr>
      <w:r w:rsidRPr="00BB64FF">
        <w:rPr>
          <w:szCs w:val="22"/>
        </w:rPr>
        <w:t>(1) Except as provided for in paragraphs (a)(2) and (4) of this section, the owner or operator of an affected facility subject to an opacity standard, shall install, calibrate, maintain, and operate a COMS, and record the output of the system, for measuring the opacity of emissions discharged to the atmosphere. If opacity interference due to water droplets exists in the stack (for example, from the use of an FGD system), the opacity is monitored upstream of the interference (at the inlet to the FGD system). If opacity interference is experienced at all locations (both at the inlet and outlet of the SO</w:t>
      </w:r>
      <w:r w:rsidRPr="00F4004E">
        <w:rPr>
          <w:szCs w:val="22"/>
          <w:vertAlign w:val="subscript"/>
        </w:rPr>
        <w:t>2</w:t>
      </w:r>
      <w:r w:rsidRPr="00BB64FF">
        <w:rPr>
          <w:szCs w:val="22"/>
        </w:rPr>
        <w:t xml:space="preserve"> control system), alternate parameters indicative of the PM control system's performance and/or good combustion are monitored (subject to the approval of the Administrator).</w:t>
      </w:r>
    </w:p>
    <w:p w:rsidR="00BB64FF" w:rsidRPr="00BB64FF" w:rsidRDefault="00BB64FF" w:rsidP="00BB64FF">
      <w:pPr>
        <w:spacing w:after="40"/>
        <w:ind w:left="20"/>
        <w:rPr>
          <w:szCs w:val="22"/>
        </w:rPr>
      </w:pPr>
      <w:r w:rsidRPr="00BB64FF">
        <w:rPr>
          <w:szCs w:val="22"/>
        </w:rPr>
        <w:t>(2) As an alternative to the monitoring requirements in paragraph (a)(1) of this section, an owner or operator of an affected facility that meets the conditions in either paragraph (a)(2)(</w:t>
      </w:r>
      <w:proofErr w:type="spellStart"/>
      <w:r w:rsidRPr="00BB64FF">
        <w:rPr>
          <w:szCs w:val="22"/>
        </w:rPr>
        <w:t>i</w:t>
      </w:r>
      <w:proofErr w:type="spellEnd"/>
      <w:r w:rsidRPr="00BB64FF">
        <w:rPr>
          <w:szCs w:val="22"/>
        </w:rPr>
        <w:t>), (ii), (iii), or (iv) of this section may elect to monitor opacity as specified in paragraph (a)(3)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The affected facility uses a fabric filter (baghouse) to meet the standards in § 60.42Da and a bag leak detection system is installed and operated according to the requirements in paragraphs § </w:t>
      </w:r>
      <w:proofErr w:type="gramStart"/>
      <w:r w:rsidRPr="00BB64FF">
        <w:rPr>
          <w:szCs w:val="22"/>
        </w:rPr>
        <w:t>60.48Da(</w:t>
      </w:r>
      <w:proofErr w:type="gramEnd"/>
      <w:r w:rsidRPr="00BB64FF">
        <w:rPr>
          <w:szCs w:val="22"/>
        </w:rPr>
        <w:t>o)(4)(</w:t>
      </w:r>
      <w:proofErr w:type="spellStart"/>
      <w:r w:rsidRPr="00BB64FF">
        <w:rPr>
          <w:szCs w:val="22"/>
        </w:rPr>
        <w:t>i</w:t>
      </w:r>
      <w:proofErr w:type="spellEnd"/>
      <w:r w:rsidRPr="00BB64FF">
        <w:rPr>
          <w:szCs w:val="22"/>
        </w:rPr>
        <w:t>) through (v);</w:t>
      </w:r>
    </w:p>
    <w:p w:rsidR="00BB64FF" w:rsidRPr="00BB64FF" w:rsidRDefault="00BB64FF" w:rsidP="00BB64FF">
      <w:pPr>
        <w:spacing w:after="40"/>
        <w:ind w:left="20"/>
        <w:rPr>
          <w:szCs w:val="22"/>
        </w:rPr>
      </w:pPr>
      <w:r w:rsidRPr="00BB64FF">
        <w:rPr>
          <w:szCs w:val="22"/>
        </w:rPr>
        <w:lastRenderedPageBreak/>
        <w:t>(ii) The affected facility burns only gaseous or liquid fuels (excluding residual oil) with potential SO</w:t>
      </w:r>
      <w:r w:rsidRPr="00F4004E">
        <w:rPr>
          <w:szCs w:val="22"/>
          <w:vertAlign w:val="subscript"/>
        </w:rPr>
        <w:t>2</w:t>
      </w:r>
      <w:r w:rsidRPr="00BB64FF">
        <w:rPr>
          <w:szCs w:val="22"/>
        </w:rPr>
        <w:t xml:space="preserve"> emissions rates of 26 </w:t>
      </w:r>
      <w:proofErr w:type="spellStart"/>
      <w:r w:rsidRPr="00BB64FF">
        <w:rPr>
          <w:szCs w:val="22"/>
        </w:rPr>
        <w:t>ng</w:t>
      </w:r>
      <w:proofErr w:type="spellEnd"/>
      <w:r w:rsidRPr="00BB64FF">
        <w:rPr>
          <w:szCs w:val="22"/>
        </w:rPr>
        <w:t>/J (0.060 lb/</w:t>
      </w:r>
      <w:proofErr w:type="spellStart"/>
      <w:r w:rsidRPr="00BB64FF">
        <w:rPr>
          <w:szCs w:val="22"/>
        </w:rPr>
        <w:t>MMBtu</w:t>
      </w:r>
      <w:proofErr w:type="spellEnd"/>
      <w:r w:rsidRPr="00BB64FF">
        <w:rPr>
          <w:szCs w:val="22"/>
        </w:rPr>
        <w:t>) or less, and does not use a post-combustion technology to reduce emissions of SO</w:t>
      </w:r>
      <w:r w:rsidRPr="00F4004E">
        <w:rPr>
          <w:szCs w:val="22"/>
          <w:vertAlign w:val="subscript"/>
        </w:rPr>
        <w:t>2</w:t>
      </w:r>
      <w:r w:rsidRPr="00BB64FF">
        <w:rPr>
          <w:szCs w:val="22"/>
        </w:rPr>
        <w:t xml:space="preserve"> or PM;</w:t>
      </w:r>
    </w:p>
    <w:p w:rsidR="00BB64FF" w:rsidRPr="00BB64FF" w:rsidRDefault="00BB64FF" w:rsidP="00BB64FF">
      <w:pPr>
        <w:spacing w:after="40"/>
        <w:ind w:left="20"/>
        <w:rPr>
          <w:szCs w:val="22"/>
        </w:rPr>
      </w:pPr>
      <w:r w:rsidRPr="00BB64FF">
        <w:rPr>
          <w:szCs w:val="22"/>
        </w:rPr>
        <w:t>(iii) The affected facility meets all of the conditions specified in paragraphs (a</w:t>
      </w:r>
      <w:proofErr w:type="gramStart"/>
      <w:r w:rsidRPr="00BB64FF">
        <w:rPr>
          <w:szCs w:val="22"/>
        </w:rPr>
        <w:t>)(</w:t>
      </w:r>
      <w:proofErr w:type="gramEnd"/>
      <w:r w:rsidRPr="00BB64FF">
        <w:rPr>
          <w:szCs w:val="22"/>
        </w:rPr>
        <w:t>2)(iii)(A) through (C) of this section.</w:t>
      </w:r>
    </w:p>
    <w:p w:rsidR="00BB64FF" w:rsidRPr="00BB64FF" w:rsidRDefault="00BB64FF" w:rsidP="00BB64FF">
      <w:pPr>
        <w:spacing w:after="40"/>
        <w:ind w:left="20"/>
        <w:rPr>
          <w:szCs w:val="22"/>
        </w:rPr>
      </w:pPr>
      <w:r w:rsidRPr="00BB64FF">
        <w:rPr>
          <w:szCs w:val="22"/>
        </w:rPr>
        <w:t>(A) No post-combustion technology (except a wet scrubber) is used for reducing PM, SO</w:t>
      </w:r>
      <w:r w:rsidRPr="00F4004E">
        <w:rPr>
          <w:szCs w:val="22"/>
          <w:vertAlign w:val="subscript"/>
        </w:rPr>
        <w:t>2</w:t>
      </w:r>
      <w:r w:rsidRPr="00BB64FF">
        <w:rPr>
          <w:szCs w:val="22"/>
        </w:rPr>
        <w:t>, or CO emissions;</w:t>
      </w:r>
    </w:p>
    <w:p w:rsidR="00BB64FF" w:rsidRPr="00BB64FF" w:rsidRDefault="00BB64FF" w:rsidP="00BB64FF">
      <w:pPr>
        <w:spacing w:after="40"/>
        <w:ind w:left="20"/>
        <w:rPr>
          <w:szCs w:val="22"/>
        </w:rPr>
      </w:pPr>
      <w:r w:rsidRPr="00BB64FF">
        <w:rPr>
          <w:szCs w:val="22"/>
        </w:rPr>
        <w:t>(B) Only natural gas, gaseous fuels, or fuel oils that contain less than or equal to 0.30 weight percent sulfur are burned; and</w:t>
      </w:r>
    </w:p>
    <w:p w:rsidR="00BB64FF" w:rsidRPr="00BB64FF" w:rsidRDefault="00BB64FF" w:rsidP="00BB64FF">
      <w:pPr>
        <w:spacing w:after="40"/>
        <w:ind w:left="20"/>
        <w:rPr>
          <w:szCs w:val="22"/>
        </w:rPr>
      </w:pPr>
      <w:r w:rsidRPr="00BB64FF">
        <w:rPr>
          <w:szCs w:val="22"/>
        </w:rPr>
        <w:t>(C) Emissions of CO discharged to the atmosphere are maintained at levels less than or equal to 1.4 lb/MWh on a boiler operating day average basis as demonstrated by the use of a CEMS measuring CO emissions according to the procedures specified in paragraph (u) of this section; or</w:t>
      </w:r>
    </w:p>
    <w:p w:rsidR="00BB64FF" w:rsidRPr="00BB64FF" w:rsidRDefault="00BB64FF" w:rsidP="00BB64FF">
      <w:pPr>
        <w:spacing w:after="40"/>
        <w:ind w:left="20"/>
        <w:rPr>
          <w:szCs w:val="22"/>
        </w:rPr>
      </w:pPr>
      <w:r w:rsidRPr="00BB64FF">
        <w:rPr>
          <w:szCs w:val="22"/>
        </w:rPr>
        <w:t>(iv) The affected facility uses an ESP and uses an ESP predictive model to monitor the performance of the ESP developed in accordance and operated according to the most current requirements in section § 60.48Da of this part.</w:t>
      </w:r>
    </w:p>
    <w:p w:rsidR="00BB64FF" w:rsidRPr="00BB64FF" w:rsidRDefault="00BB64FF" w:rsidP="00BB64FF">
      <w:pPr>
        <w:spacing w:after="40"/>
        <w:ind w:left="20"/>
        <w:rPr>
          <w:szCs w:val="22"/>
        </w:rPr>
      </w:pPr>
      <w:r w:rsidRPr="00BB64FF">
        <w:rPr>
          <w:szCs w:val="22"/>
        </w:rPr>
        <w:t>(3) The owner or operator of an affected facility that meets the conditions in paragraph (a)(2) of this section may, as an alternative to using a COMS, elect to monitor visible emissions using the applicable procedures specified in paragraphs (a)(3)(</w:t>
      </w:r>
      <w:proofErr w:type="spellStart"/>
      <w:r w:rsidRPr="00BB64FF">
        <w:rPr>
          <w:szCs w:val="22"/>
        </w:rPr>
        <w:t>i</w:t>
      </w:r>
      <w:proofErr w:type="spellEnd"/>
      <w:r w:rsidRPr="00BB64FF">
        <w:rPr>
          <w:szCs w:val="22"/>
        </w:rPr>
        <w:t>) through (iv) of this section. The opacity performance test requirement in paragraph (a)(3)(</w:t>
      </w:r>
      <w:proofErr w:type="spellStart"/>
      <w:r w:rsidRPr="00BB64FF">
        <w:rPr>
          <w:szCs w:val="22"/>
        </w:rPr>
        <w:t>i</w:t>
      </w:r>
      <w:proofErr w:type="spellEnd"/>
      <w:r w:rsidRPr="00BB64FF">
        <w:rPr>
          <w:szCs w:val="22"/>
        </w:rPr>
        <w:t>) must be conducted by April 29, 2011, within 45 days after stopping use of an existing COMS, or within 180 days after initial startup of the facility, whichever is later.</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The owner or operator shall conduct a performance test using Method 9 of appendix A-4 of this part and the procedures in § 60.11. If during the initial 60 minutes of the observation all the 6-minute averages are less than 10 percent and all the individual 15-second observations are less than or equal to 20 percent, then the observation period may be reduced from 3 hours to 60 minutes.</w:t>
      </w:r>
    </w:p>
    <w:p w:rsidR="00BB64FF" w:rsidRPr="00BB64FF" w:rsidRDefault="00BB64FF" w:rsidP="00BB64FF">
      <w:pPr>
        <w:spacing w:after="40"/>
        <w:ind w:left="20"/>
        <w:rPr>
          <w:szCs w:val="22"/>
        </w:rPr>
      </w:pPr>
      <w:r w:rsidRPr="00BB64FF">
        <w:rPr>
          <w:szCs w:val="22"/>
        </w:rPr>
        <w:t>(ii) Except as provided in paragraph (a)(3)(iii) or (iv) of this section, the owner or operator shall conduct subsequent Method 9 of appendix A-4 of this part performance tests using the procedures in paragraph (a)(3)(</w:t>
      </w:r>
      <w:proofErr w:type="spellStart"/>
      <w:r w:rsidRPr="00BB64FF">
        <w:rPr>
          <w:szCs w:val="22"/>
        </w:rPr>
        <w:t>i</w:t>
      </w:r>
      <w:proofErr w:type="spellEnd"/>
      <w:r w:rsidRPr="00BB64FF">
        <w:rPr>
          <w:szCs w:val="22"/>
        </w:rPr>
        <w:t>) of this section according to the applicable schedule in paragraphs (a)(3)(ii)(A) through (a)(3)(ii)(C) of this section, as determined by the most recent Method 9 of appendix A-4 of this part performance test results.</w:t>
      </w:r>
    </w:p>
    <w:p w:rsidR="00BB64FF" w:rsidRPr="00BB64FF" w:rsidRDefault="00BB64FF" w:rsidP="00BB64FF">
      <w:pPr>
        <w:spacing w:after="40"/>
        <w:ind w:left="20"/>
        <w:rPr>
          <w:szCs w:val="22"/>
        </w:rPr>
      </w:pPr>
      <w:r w:rsidRPr="00BB64FF">
        <w:rPr>
          <w:szCs w:val="22"/>
        </w:rPr>
        <w:t>(A) If the maximum 6-minute average opacity is less than or equal to 5 percent,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BB64FF" w:rsidRPr="00BB64FF" w:rsidRDefault="00BB64FF" w:rsidP="00BB64FF">
      <w:pPr>
        <w:spacing w:after="40"/>
        <w:ind w:left="20"/>
        <w:rPr>
          <w:szCs w:val="22"/>
        </w:rPr>
      </w:pPr>
      <w:r w:rsidRPr="00BB64FF">
        <w:rPr>
          <w:szCs w:val="22"/>
        </w:rPr>
        <w:t>(B)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BB64FF" w:rsidRPr="00BB64FF" w:rsidRDefault="00BB64FF" w:rsidP="00BB64FF">
      <w:pPr>
        <w:spacing w:after="40"/>
        <w:ind w:left="20"/>
        <w:rPr>
          <w:szCs w:val="22"/>
        </w:rPr>
      </w:pPr>
      <w:r w:rsidRPr="00BB64FF">
        <w:rPr>
          <w:szCs w:val="22"/>
        </w:rPr>
        <w:t>(C) If the maximum 6-minute average opacity is greater than 10 percent, a subsequent Method 9 of appendix A-4 of this part performance test must be completed within 45 calendar days from the date that the most recent performance test was conducted.</w:t>
      </w:r>
    </w:p>
    <w:p w:rsidR="00BB64FF" w:rsidRPr="00BB64FF" w:rsidRDefault="00BB64FF" w:rsidP="00BB64FF">
      <w:pPr>
        <w:spacing w:after="40"/>
        <w:ind w:left="20"/>
        <w:rPr>
          <w:szCs w:val="22"/>
        </w:rPr>
      </w:pPr>
      <w:r w:rsidRPr="00BB64FF">
        <w:rPr>
          <w:szCs w:val="22"/>
        </w:rPr>
        <w:t>(iii)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(a)(3)(iii)(A) and (B) of this section.</w:t>
      </w:r>
    </w:p>
    <w:p w:rsidR="00BB64FF" w:rsidRPr="00BB64FF" w:rsidRDefault="00BB64FF" w:rsidP="00BB64FF">
      <w:pPr>
        <w:spacing w:after="40"/>
        <w:ind w:left="20"/>
        <w:rPr>
          <w:szCs w:val="22"/>
        </w:rPr>
      </w:pPr>
      <w:r w:rsidRPr="00BB64FF">
        <w:rPr>
          <w:szCs w:val="22"/>
        </w:rPr>
        <w:t xml:space="preserve">(A)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proofErr w:type="gramStart"/>
      <w:r w:rsidRPr="00BB64FF">
        <w:rPr>
          <w:szCs w:val="22"/>
        </w:rPr>
        <w:t>( i.e</w:t>
      </w:r>
      <w:proofErr w:type="gramEnd"/>
      <w:r w:rsidRPr="00BB64FF">
        <w:rPr>
          <w:szCs w:val="22"/>
        </w:rPr>
        <w:t xml:space="preserve">. , 30 seconds per 10 minute period). If the sum of the occurrence of any visible </w:t>
      </w:r>
      <w:r w:rsidRPr="00BB64FF">
        <w:rPr>
          <w:szCs w:val="22"/>
        </w:rPr>
        <w:lastRenderedPageBreak/>
        <w:t>emissions is greater than 30 seconds during the initial 10 minute observation, immediately conduct a 30 minute observation. If the sum of the occurrence of visible emissions is greater than 5 percent of the observation period ( i.e., 90 seconds per 30 minute period), the owner or operator shall either document and adjust the operation of the facility and demonstrate within 24 hours that the sum of the occurrence of visible emissions is equal to or less than 5 percent during a 30 minute observation ( i.e., 90 seconds) or conduct a new Method 9 of appendix A-4 of this part performance test using the procedures in paragraph (a)(3)(</w:t>
      </w:r>
      <w:proofErr w:type="spellStart"/>
      <w:r w:rsidRPr="00BB64FF">
        <w:rPr>
          <w:szCs w:val="22"/>
        </w:rPr>
        <w:t>i</w:t>
      </w:r>
      <w:proofErr w:type="spellEnd"/>
      <w:r w:rsidRPr="00BB64FF">
        <w:rPr>
          <w:szCs w:val="22"/>
        </w:rPr>
        <w:t>) of this section within 45 calendar days according to the requirements in § 60.50Da(b)(3).</w:t>
      </w:r>
    </w:p>
    <w:p w:rsidR="00BB64FF" w:rsidRPr="00BB64FF" w:rsidRDefault="00BB64FF" w:rsidP="00BB64FF">
      <w:pPr>
        <w:spacing w:after="40"/>
        <w:ind w:left="20"/>
        <w:rPr>
          <w:szCs w:val="22"/>
        </w:rPr>
      </w:pPr>
      <w:r w:rsidRPr="00BB64FF">
        <w:rPr>
          <w:szCs w:val="22"/>
        </w:rPr>
        <w:t>(B)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BB64FF" w:rsidRPr="00BB64FF" w:rsidRDefault="00BB64FF" w:rsidP="00BB64FF">
      <w:pPr>
        <w:spacing w:after="40"/>
        <w:ind w:left="20"/>
        <w:rPr>
          <w:szCs w:val="22"/>
        </w:rPr>
      </w:pPr>
      <w:r w:rsidRPr="00BB64FF">
        <w:rPr>
          <w:szCs w:val="22"/>
        </w:rPr>
        <w:t>(iv)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must be similar, but not necessarily identical, to the requirements in paragraph (a</w:t>
      </w:r>
      <w:proofErr w:type="gramStart"/>
      <w:r w:rsidRPr="00BB64FF">
        <w:rPr>
          <w:szCs w:val="22"/>
        </w:rPr>
        <w:t>)(</w:t>
      </w:r>
      <w:proofErr w:type="gramEnd"/>
      <w:r w:rsidRPr="00BB64FF">
        <w:rPr>
          <w:szCs w:val="22"/>
        </w:rPr>
        <w:t>3)(iii)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BB64FF" w:rsidRPr="00BB64FF" w:rsidRDefault="00BB64FF" w:rsidP="00BB64FF">
      <w:pPr>
        <w:spacing w:after="40"/>
        <w:ind w:left="20"/>
        <w:rPr>
          <w:szCs w:val="22"/>
        </w:rPr>
      </w:pPr>
      <w:r w:rsidRPr="00BB64FF">
        <w:rPr>
          <w:szCs w:val="22"/>
        </w:rPr>
        <w:t>(4) An owner or operator of an affected facility that is subject to an opacity standard under § 60.42Da is not required to operate a COMS provided that affected facility meets the conditions in either paragraph (a)(4)(</w:t>
      </w:r>
      <w:proofErr w:type="spellStart"/>
      <w:r w:rsidRPr="00BB64FF">
        <w:rPr>
          <w:szCs w:val="22"/>
        </w:rPr>
        <w:t>i</w:t>
      </w:r>
      <w:proofErr w:type="spellEnd"/>
      <w:r w:rsidRPr="00BB64FF">
        <w:rPr>
          <w:szCs w:val="22"/>
        </w:rPr>
        <w:t>) or (ii)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The affected facility combusts only gaseous and/or liquid fuels (excluding residue oil) where the potential SO</w:t>
      </w:r>
      <w:r w:rsidRPr="00F4004E">
        <w:rPr>
          <w:szCs w:val="22"/>
          <w:vertAlign w:val="subscript"/>
        </w:rPr>
        <w:t>2</w:t>
      </w:r>
      <w:r w:rsidRPr="00BB64FF">
        <w:rPr>
          <w:szCs w:val="22"/>
        </w:rPr>
        <w:t xml:space="preserve"> emissions rate of each fuel is no greater than 26 </w:t>
      </w:r>
      <w:proofErr w:type="spellStart"/>
      <w:r w:rsidRPr="00BB64FF">
        <w:rPr>
          <w:szCs w:val="22"/>
        </w:rPr>
        <w:t>ng</w:t>
      </w:r>
      <w:proofErr w:type="spellEnd"/>
      <w:r w:rsidRPr="00BB64FF">
        <w:rPr>
          <w:szCs w:val="22"/>
        </w:rPr>
        <w:t>/J (0.060 lb/</w:t>
      </w:r>
      <w:proofErr w:type="spellStart"/>
      <w:r w:rsidRPr="00BB64FF">
        <w:rPr>
          <w:szCs w:val="22"/>
        </w:rPr>
        <w:t>MMBtu</w:t>
      </w:r>
      <w:proofErr w:type="spellEnd"/>
      <w:r w:rsidRPr="00BB64FF">
        <w:rPr>
          <w:szCs w:val="22"/>
        </w:rPr>
        <w:t>), and the unit operates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 60.8 and 60.11 that the owner or operator submit any deviations with the excess emissions report required under § 60.51Da(d).</w:t>
      </w:r>
    </w:p>
    <w:p w:rsidR="00BB64FF" w:rsidRPr="00BB64FF" w:rsidRDefault="00BB64FF" w:rsidP="00BB64FF">
      <w:pPr>
        <w:spacing w:after="40"/>
        <w:ind w:left="20"/>
        <w:rPr>
          <w:szCs w:val="22"/>
        </w:rPr>
      </w:pPr>
      <w:r w:rsidRPr="00BB64FF">
        <w:rPr>
          <w:szCs w:val="22"/>
        </w:rPr>
        <w:t>(ii) The owner or operator of the affected facility installs, calibrates, operates, and maintains a particulate matter continuous parametric monitoring system (PM CPMS) according to the requirements specified in subpart UUUUU of part 63.</w:t>
      </w:r>
    </w:p>
    <w:p w:rsidR="00BB64FF" w:rsidRPr="00BB64FF" w:rsidRDefault="00BB64FF" w:rsidP="00BB64FF">
      <w:pPr>
        <w:spacing w:after="40"/>
        <w:ind w:left="20"/>
        <w:rPr>
          <w:szCs w:val="22"/>
        </w:rPr>
      </w:pPr>
      <w:r w:rsidRPr="00BB64FF">
        <w:rPr>
          <w:szCs w:val="22"/>
        </w:rPr>
        <w:t>(b) The owner or operator of an affected facility must install, calibrate, maintain, and operate a CEMS, and record the output of the system, for measuring SO</w:t>
      </w:r>
      <w:r w:rsidRPr="00F4004E">
        <w:rPr>
          <w:szCs w:val="22"/>
          <w:vertAlign w:val="subscript"/>
        </w:rPr>
        <w:t>2</w:t>
      </w:r>
      <w:r w:rsidRPr="00BB64FF">
        <w:rPr>
          <w:szCs w:val="22"/>
        </w:rPr>
        <w:t xml:space="preserve"> emissions, except where only gaseous and/or liquid fuels (excluding residual oil) where the potential SO</w:t>
      </w:r>
      <w:r w:rsidRPr="00F4004E">
        <w:rPr>
          <w:szCs w:val="22"/>
          <w:vertAlign w:val="subscript"/>
        </w:rPr>
        <w:t>2</w:t>
      </w:r>
      <w:r w:rsidRPr="00BB64FF">
        <w:rPr>
          <w:szCs w:val="22"/>
        </w:rPr>
        <w:t xml:space="preserve"> emissions rate of each fuel is 26 </w:t>
      </w:r>
      <w:proofErr w:type="spellStart"/>
      <w:r w:rsidRPr="00BB64FF">
        <w:rPr>
          <w:szCs w:val="22"/>
        </w:rPr>
        <w:t>ng</w:t>
      </w:r>
      <w:proofErr w:type="spellEnd"/>
      <w:r w:rsidRPr="00BB64FF">
        <w:rPr>
          <w:szCs w:val="22"/>
        </w:rPr>
        <w:t>/J (0.060 lb/</w:t>
      </w:r>
      <w:proofErr w:type="spellStart"/>
      <w:r w:rsidRPr="00BB64FF">
        <w:rPr>
          <w:szCs w:val="22"/>
        </w:rPr>
        <w:t>MMBtu</w:t>
      </w:r>
      <w:proofErr w:type="spellEnd"/>
      <w:r w:rsidRPr="00BB64FF">
        <w:rPr>
          <w:szCs w:val="22"/>
        </w:rPr>
        <w:t>) or less are combusted, as follows:</w:t>
      </w:r>
    </w:p>
    <w:p w:rsidR="00BB64FF" w:rsidRPr="00BB64FF" w:rsidRDefault="00BB64FF" w:rsidP="00BB64FF">
      <w:pPr>
        <w:spacing w:after="40"/>
        <w:ind w:left="20"/>
        <w:rPr>
          <w:szCs w:val="22"/>
        </w:rPr>
      </w:pPr>
      <w:r w:rsidRPr="00BB64FF">
        <w:rPr>
          <w:szCs w:val="22"/>
        </w:rPr>
        <w:t>(1) Sulfur dioxide emissions are monitored at both the inlet and outlet of the SO</w:t>
      </w:r>
      <w:r w:rsidRPr="00F4004E">
        <w:rPr>
          <w:szCs w:val="22"/>
          <w:vertAlign w:val="subscript"/>
        </w:rPr>
        <w:t xml:space="preserve">2 </w:t>
      </w:r>
      <w:r w:rsidRPr="00BB64FF">
        <w:rPr>
          <w:szCs w:val="22"/>
        </w:rPr>
        <w:t>control device.</w:t>
      </w:r>
    </w:p>
    <w:p w:rsidR="00BB64FF" w:rsidRPr="00BB64FF" w:rsidRDefault="00BB64FF" w:rsidP="00BB64FF">
      <w:pPr>
        <w:spacing w:after="40"/>
        <w:ind w:left="20"/>
        <w:rPr>
          <w:szCs w:val="22"/>
        </w:rPr>
      </w:pPr>
      <w:r w:rsidRPr="00BB64FF">
        <w:rPr>
          <w:szCs w:val="22"/>
        </w:rPr>
        <w:t>(2) For a facility that qualifies under the numerical limit provisions of § 60.43Da, SO</w:t>
      </w:r>
      <w:r w:rsidRPr="00F4004E">
        <w:rPr>
          <w:szCs w:val="22"/>
          <w:vertAlign w:val="subscript"/>
        </w:rPr>
        <w:t>2</w:t>
      </w:r>
      <w:r w:rsidRPr="00BB64FF">
        <w:rPr>
          <w:szCs w:val="22"/>
        </w:rPr>
        <w:t xml:space="preserve"> emissions are only monitored as discharged to the atmosphere.</w:t>
      </w:r>
    </w:p>
    <w:p w:rsidR="00BB64FF" w:rsidRPr="00BB64FF" w:rsidRDefault="00BB64FF" w:rsidP="00BB64FF">
      <w:pPr>
        <w:spacing w:after="40"/>
        <w:ind w:left="20"/>
        <w:rPr>
          <w:szCs w:val="22"/>
        </w:rPr>
      </w:pPr>
      <w:r w:rsidRPr="00BB64FF">
        <w:rPr>
          <w:szCs w:val="22"/>
        </w:rPr>
        <w:t xml:space="preserve">(3) An “as fired” fuel monitoring system (upstream of coal </w:t>
      </w:r>
      <w:proofErr w:type="spellStart"/>
      <w:r w:rsidRPr="00BB64FF">
        <w:rPr>
          <w:szCs w:val="22"/>
        </w:rPr>
        <w:t>pulverizers</w:t>
      </w:r>
      <w:proofErr w:type="spellEnd"/>
      <w:r w:rsidRPr="00BB64FF">
        <w:rPr>
          <w:szCs w:val="22"/>
        </w:rPr>
        <w:t>) meeting the requirements of Method 19 of appendix A of this part may be used to determine potential SO</w:t>
      </w:r>
      <w:r w:rsidRPr="00F4004E">
        <w:rPr>
          <w:szCs w:val="22"/>
          <w:vertAlign w:val="subscript"/>
        </w:rPr>
        <w:t>2</w:t>
      </w:r>
      <w:r w:rsidRPr="00BB64FF">
        <w:rPr>
          <w:szCs w:val="22"/>
        </w:rPr>
        <w:t xml:space="preserve"> emissions in place of a continuous SO</w:t>
      </w:r>
      <w:r w:rsidRPr="00F4004E">
        <w:rPr>
          <w:szCs w:val="22"/>
          <w:vertAlign w:val="subscript"/>
        </w:rPr>
        <w:t>2</w:t>
      </w:r>
      <w:r w:rsidRPr="00BB64FF">
        <w:rPr>
          <w:szCs w:val="22"/>
        </w:rPr>
        <w:t xml:space="preserve"> emission monitor at the inlet to the SO</w:t>
      </w:r>
      <w:r w:rsidRPr="00F4004E">
        <w:rPr>
          <w:szCs w:val="22"/>
          <w:vertAlign w:val="subscript"/>
        </w:rPr>
        <w:t>2</w:t>
      </w:r>
      <w:r w:rsidRPr="00BB64FF">
        <w:rPr>
          <w:szCs w:val="22"/>
        </w:rPr>
        <w:t xml:space="preserve"> control device as required under paragraph (b)(1) of this section.</w:t>
      </w:r>
    </w:p>
    <w:p w:rsidR="00BB64FF" w:rsidRPr="00BB64FF" w:rsidRDefault="00BB64FF" w:rsidP="00BB64FF">
      <w:pPr>
        <w:spacing w:after="40"/>
        <w:ind w:left="20"/>
        <w:rPr>
          <w:szCs w:val="22"/>
        </w:rPr>
      </w:pPr>
      <w:r w:rsidRPr="00BB64FF">
        <w:rPr>
          <w:szCs w:val="22"/>
        </w:rPr>
        <w:t>(4) If the owner or operator has installed and certified a SO</w:t>
      </w:r>
      <w:r w:rsidRPr="00F4004E">
        <w:rPr>
          <w:szCs w:val="22"/>
          <w:vertAlign w:val="subscript"/>
        </w:rPr>
        <w:t>2</w:t>
      </w:r>
      <w:r w:rsidRPr="00BB64FF">
        <w:rPr>
          <w:szCs w:val="22"/>
        </w:rPr>
        <w:t xml:space="preserve"> CEMS according to the requirements of § 75.20(c</w:t>
      </w:r>
      <w:proofErr w:type="gramStart"/>
      <w:r w:rsidRPr="00BB64FF">
        <w:rPr>
          <w:szCs w:val="22"/>
        </w:rPr>
        <w:t>)(</w:t>
      </w:r>
      <w:proofErr w:type="gramEnd"/>
      <w:r w:rsidRPr="00BB64FF">
        <w:rPr>
          <w:szCs w:val="22"/>
        </w:rPr>
        <w:t xml:space="preserve">1) of this chapter and appendix A to part 75 of this chapter, and is continuing to meet the ongoing </w:t>
      </w:r>
      <w:r w:rsidRPr="00BB64FF">
        <w:rPr>
          <w:szCs w:val="22"/>
        </w:rPr>
        <w:lastRenderedPageBreak/>
        <w:t>quality assurance requirements of § 75.21 of this chapter and appendix B to part 75 of this chapter, that CEMS may be used to meet the requirements of this section, provided that:</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A CO</w:t>
      </w:r>
      <w:r w:rsidRPr="00F4004E">
        <w:rPr>
          <w:szCs w:val="22"/>
          <w:vertAlign w:val="subscript"/>
        </w:rPr>
        <w:t>2</w:t>
      </w:r>
      <w:r w:rsidRPr="00BB64FF">
        <w:rPr>
          <w:szCs w:val="22"/>
        </w:rPr>
        <w:t xml:space="preserve"> or O</w:t>
      </w:r>
      <w:r w:rsidRPr="00F4004E">
        <w:rPr>
          <w:szCs w:val="22"/>
          <w:vertAlign w:val="subscript"/>
        </w:rPr>
        <w:t>2</w:t>
      </w:r>
      <w:r w:rsidRPr="00BB64FF">
        <w:rPr>
          <w:szCs w:val="22"/>
        </w:rPr>
        <w:t xml:space="preserve"> continuous monitoring system is installed, calibrated, maintained and operated at the same location, according to paragraph (d) of this section; and</w:t>
      </w:r>
    </w:p>
    <w:p w:rsidR="00BB64FF" w:rsidRPr="00BB64FF" w:rsidRDefault="00BB64FF" w:rsidP="00BB64FF">
      <w:pPr>
        <w:spacing w:after="40"/>
        <w:ind w:left="20"/>
        <w:rPr>
          <w:szCs w:val="22"/>
        </w:rPr>
      </w:pPr>
      <w:r w:rsidRPr="00BB64FF">
        <w:rPr>
          <w:szCs w:val="22"/>
        </w:rPr>
        <w:t>(ii) For sources subject to an SO</w:t>
      </w:r>
      <w:r w:rsidRPr="00F4004E">
        <w:rPr>
          <w:szCs w:val="22"/>
          <w:vertAlign w:val="subscript"/>
        </w:rPr>
        <w:t>2</w:t>
      </w:r>
      <w:r w:rsidRPr="00BB64FF">
        <w:rPr>
          <w:szCs w:val="22"/>
        </w:rPr>
        <w:t xml:space="preserve"> emission limit in lb/MMBtu under § 60.43Da:</w:t>
      </w:r>
    </w:p>
    <w:p w:rsidR="00BB64FF" w:rsidRPr="00BB64FF" w:rsidRDefault="00BB64FF" w:rsidP="00BB64FF">
      <w:pPr>
        <w:spacing w:after="40"/>
        <w:ind w:left="20"/>
        <w:rPr>
          <w:szCs w:val="22"/>
        </w:rPr>
      </w:pPr>
      <w:r w:rsidRPr="00BB64FF">
        <w:rPr>
          <w:szCs w:val="22"/>
        </w:rPr>
        <w:t>(A) When relative accuracy testing is conducted, SO</w:t>
      </w:r>
      <w:r w:rsidRPr="00F4004E">
        <w:rPr>
          <w:szCs w:val="22"/>
          <w:vertAlign w:val="subscript"/>
        </w:rPr>
        <w:t xml:space="preserve">2 </w:t>
      </w:r>
      <w:r w:rsidRPr="00BB64FF">
        <w:rPr>
          <w:szCs w:val="22"/>
        </w:rPr>
        <w:t>concentration data and CO</w:t>
      </w:r>
      <w:r w:rsidRPr="00F4004E">
        <w:rPr>
          <w:szCs w:val="22"/>
          <w:vertAlign w:val="subscript"/>
        </w:rPr>
        <w:t>2</w:t>
      </w:r>
      <w:r w:rsidRPr="00BB64FF">
        <w:rPr>
          <w:szCs w:val="22"/>
        </w:rPr>
        <w:t xml:space="preserve"> (or O</w:t>
      </w:r>
      <w:r w:rsidRPr="00F4004E">
        <w:rPr>
          <w:szCs w:val="22"/>
          <w:vertAlign w:val="subscript"/>
        </w:rPr>
        <w:t>2</w:t>
      </w:r>
      <w:r w:rsidRPr="00BB64FF">
        <w:rPr>
          <w:szCs w:val="22"/>
        </w:rPr>
        <w:t>) data are collected simultaneously; and</w:t>
      </w:r>
    </w:p>
    <w:p w:rsidR="00BB64FF" w:rsidRPr="00BB64FF" w:rsidRDefault="00BB64FF" w:rsidP="00BB64FF">
      <w:pPr>
        <w:spacing w:after="40"/>
        <w:ind w:left="20"/>
        <w:rPr>
          <w:szCs w:val="22"/>
        </w:rPr>
      </w:pPr>
      <w:r w:rsidRPr="00BB64FF">
        <w:rPr>
          <w:szCs w:val="22"/>
        </w:rPr>
        <w:t>(B) In addition to meeting the applicable SO</w:t>
      </w:r>
      <w:r w:rsidRPr="00F4004E">
        <w:rPr>
          <w:szCs w:val="22"/>
          <w:vertAlign w:val="subscript"/>
        </w:rPr>
        <w:t>2</w:t>
      </w:r>
      <w:r w:rsidRPr="00BB64FF">
        <w:rPr>
          <w:szCs w:val="22"/>
        </w:rPr>
        <w:t xml:space="preserve"> and CO</w:t>
      </w:r>
      <w:r w:rsidRPr="00F4004E">
        <w:rPr>
          <w:szCs w:val="22"/>
          <w:vertAlign w:val="subscript"/>
        </w:rPr>
        <w:t>2</w:t>
      </w:r>
      <w:r w:rsidRPr="00BB64FF">
        <w:rPr>
          <w:szCs w:val="22"/>
        </w:rPr>
        <w:t xml:space="preserve"> (or O</w:t>
      </w:r>
      <w:r w:rsidRPr="00F4004E">
        <w:rPr>
          <w:szCs w:val="22"/>
          <w:vertAlign w:val="subscript"/>
        </w:rPr>
        <w:t>2</w:t>
      </w:r>
      <w:r w:rsidRPr="00BB64FF">
        <w:rPr>
          <w:szCs w:val="22"/>
        </w:rPr>
        <w:t>) relative accuracy specifications in Figure 2 of appendix B to part 75 of this chapter, the relative accuracy (RA) standard in section 13.2 of Performance Specification 2 in appendix B to this part is met when the RA is calculated on a lb/MMBtu basis; and</w:t>
      </w:r>
    </w:p>
    <w:p w:rsidR="00BB64FF" w:rsidRPr="00BB64FF" w:rsidRDefault="00BB64FF" w:rsidP="00BB64FF">
      <w:pPr>
        <w:spacing w:after="40"/>
        <w:ind w:left="20"/>
        <w:rPr>
          <w:szCs w:val="22"/>
        </w:rPr>
      </w:pPr>
      <w:r w:rsidRPr="00BB64FF">
        <w:rPr>
          <w:szCs w:val="22"/>
        </w:rPr>
        <w:t>(iii) The reporting requirements of § 60.51Da are met. The SO</w:t>
      </w:r>
      <w:r w:rsidRPr="00F4004E">
        <w:rPr>
          <w:szCs w:val="22"/>
          <w:vertAlign w:val="subscript"/>
        </w:rPr>
        <w:t>2</w:t>
      </w:r>
      <w:r w:rsidRPr="00BB64FF">
        <w:rPr>
          <w:szCs w:val="22"/>
        </w:rPr>
        <w:t xml:space="preserve"> and, if required, CO</w:t>
      </w:r>
      <w:r w:rsidRPr="00F4004E">
        <w:rPr>
          <w:szCs w:val="22"/>
          <w:vertAlign w:val="subscript"/>
        </w:rPr>
        <w:t>2</w:t>
      </w:r>
      <w:r w:rsidRPr="00BB64FF">
        <w:rPr>
          <w:szCs w:val="22"/>
        </w:rPr>
        <w:t xml:space="preserve"> (or O</w:t>
      </w:r>
      <w:r w:rsidRPr="00F4004E">
        <w:rPr>
          <w:szCs w:val="22"/>
          <w:vertAlign w:val="subscript"/>
        </w:rPr>
        <w:t>2</w:t>
      </w:r>
      <w:r w:rsidRPr="00BB64FF">
        <w:rPr>
          <w:szCs w:val="22"/>
        </w:rPr>
        <w:t>) data reported to meet the requirements of § 60.51Da shall not include substitute data values derived from the missing data procedures in subpart D of part 75 of this chapter, nor shall the SO</w:t>
      </w:r>
      <w:r w:rsidRPr="00F4004E">
        <w:rPr>
          <w:szCs w:val="22"/>
          <w:vertAlign w:val="subscript"/>
        </w:rPr>
        <w:t>2</w:t>
      </w:r>
      <w:r w:rsidRPr="00BB64FF">
        <w:rPr>
          <w:szCs w:val="22"/>
        </w:rPr>
        <w:t xml:space="preserve"> data have been bias adjusted according to the procedures of part 75 of this chapter.</w:t>
      </w:r>
    </w:p>
    <w:p w:rsidR="00BB64FF" w:rsidRPr="00BB64FF" w:rsidRDefault="00BB64FF" w:rsidP="00BB64FF">
      <w:pPr>
        <w:spacing w:after="40"/>
        <w:ind w:left="20"/>
        <w:rPr>
          <w:szCs w:val="22"/>
        </w:rPr>
      </w:pPr>
      <w:r w:rsidRPr="00BB64FF">
        <w:rPr>
          <w:szCs w:val="22"/>
        </w:rPr>
        <w:t>(c)(1) The owner or operator of an affected facility shall install, calibrate, maintain, and operate a CEMS, and record the output of the system, for measuring NOX emissions discharged to the atmosphere; or</w:t>
      </w:r>
    </w:p>
    <w:p w:rsidR="00BB64FF" w:rsidRPr="00BB64FF" w:rsidRDefault="00BB64FF" w:rsidP="00BB64FF">
      <w:pPr>
        <w:spacing w:after="40"/>
        <w:ind w:left="20"/>
        <w:rPr>
          <w:szCs w:val="22"/>
        </w:rPr>
      </w:pPr>
      <w:r w:rsidRPr="00BB64FF">
        <w:rPr>
          <w:szCs w:val="22"/>
        </w:rPr>
        <w:t>(2) If the owner or operator has installed a NOX 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 60.51Da. Data reported to meet the requirements of § 60.51Da shall not include data substituted using the missing data procedures in subpart D of part 75 of this chapter, nor shall the data have been bias adjusted according to the procedures of part 75 of this chapter.</w:t>
      </w:r>
    </w:p>
    <w:p w:rsidR="00BB64FF" w:rsidRPr="00BB64FF" w:rsidRDefault="00BB64FF" w:rsidP="00BB64FF">
      <w:pPr>
        <w:spacing w:after="40"/>
        <w:ind w:left="20"/>
        <w:rPr>
          <w:szCs w:val="22"/>
        </w:rPr>
      </w:pPr>
      <w:r w:rsidRPr="00BB64FF">
        <w:rPr>
          <w:szCs w:val="22"/>
        </w:rPr>
        <w:t>(d) The owner or operator of an affected facility not complying with an output based limit shall install, calibrate, maintain, and operate a CEMS, and record the output of the system, for measuring the O</w:t>
      </w:r>
      <w:r w:rsidRPr="00F4004E">
        <w:rPr>
          <w:szCs w:val="22"/>
          <w:vertAlign w:val="subscript"/>
        </w:rPr>
        <w:t>2</w:t>
      </w:r>
      <w:r w:rsidRPr="00BB64FF">
        <w:rPr>
          <w:szCs w:val="22"/>
        </w:rPr>
        <w:t xml:space="preserve"> or carbon dioxide (CO</w:t>
      </w:r>
      <w:r w:rsidRPr="00F4004E">
        <w:rPr>
          <w:szCs w:val="22"/>
          <w:vertAlign w:val="subscript"/>
        </w:rPr>
        <w:t>2</w:t>
      </w:r>
      <w:r w:rsidRPr="00BB64FF">
        <w:rPr>
          <w:szCs w:val="22"/>
        </w:rPr>
        <w:t>) content of the flue gases at each location where SO</w:t>
      </w:r>
      <w:r w:rsidRPr="00F4004E">
        <w:rPr>
          <w:szCs w:val="22"/>
          <w:vertAlign w:val="subscript"/>
        </w:rPr>
        <w:t>2</w:t>
      </w:r>
      <w:r w:rsidRPr="00BB64FF">
        <w:rPr>
          <w:szCs w:val="22"/>
        </w:rPr>
        <w:t xml:space="preserve"> or NOX emissions are monitored. For affected facilities subject to a lb/MMBtu SO</w:t>
      </w:r>
      <w:r w:rsidRPr="00F4004E">
        <w:rPr>
          <w:szCs w:val="22"/>
          <w:vertAlign w:val="subscript"/>
        </w:rPr>
        <w:t>2</w:t>
      </w:r>
      <w:r w:rsidRPr="00BB64FF">
        <w:rPr>
          <w:szCs w:val="22"/>
        </w:rPr>
        <w:t xml:space="preserve"> emission limit under § 60.43Da, if the owner or operator has installed and certified a CO</w:t>
      </w:r>
      <w:r w:rsidRPr="00F4004E">
        <w:rPr>
          <w:szCs w:val="22"/>
          <w:vertAlign w:val="subscript"/>
        </w:rPr>
        <w:t>2</w:t>
      </w:r>
      <w:r w:rsidRPr="00BB64FF">
        <w:rPr>
          <w:szCs w:val="22"/>
        </w:rPr>
        <w:t xml:space="preserve"> or O</w:t>
      </w:r>
      <w:r w:rsidRPr="00F4004E">
        <w:rPr>
          <w:szCs w:val="22"/>
          <w:vertAlign w:val="subscript"/>
        </w:rPr>
        <w:t>2</w:t>
      </w:r>
      <w:r w:rsidRPr="00BB64FF">
        <w:rPr>
          <w:szCs w:val="22"/>
        </w:rPr>
        <w:t xml:space="preserve"> monitoring system according to § 75.20(c) of this chapter and appendix A to part 75 of this chapter and the monitoring system continues to meet the applicable quality-assurance provisions of § 75.21 of this chapter and appendix B to part 75 of this chapter, that CEMS may be used together with the part 75 SO</w:t>
      </w:r>
      <w:r w:rsidRPr="00F4004E">
        <w:rPr>
          <w:szCs w:val="22"/>
          <w:vertAlign w:val="subscript"/>
        </w:rPr>
        <w:t>2</w:t>
      </w:r>
      <w:r w:rsidRPr="00BB64FF">
        <w:rPr>
          <w:szCs w:val="22"/>
        </w:rPr>
        <w:t xml:space="preserve"> concentration monitoring system described in paragraph (b) of this section, to determine the SO</w:t>
      </w:r>
      <w:r w:rsidRPr="00F4004E">
        <w:rPr>
          <w:szCs w:val="22"/>
          <w:vertAlign w:val="subscript"/>
        </w:rPr>
        <w:t>2</w:t>
      </w:r>
      <w:r w:rsidRPr="00BB64FF">
        <w:rPr>
          <w:szCs w:val="22"/>
        </w:rPr>
        <w:t xml:space="preserve"> emission rate in lb/MMBtu. </w:t>
      </w:r>
      <w:r w:rsidR="00F4004E">
        <w:rPr>
          <w:szCs w:val="22"/>
        </w:rPr>
        <w:t xml:space="preserve"> </w:t>
      </w:r>
      <w:r w:rsidRPr="00BB64FF">
        <w:rPr>
          <w:szCs w:val="22"/>
        </w:rPr>
        <w:t>SO</w:t>
      </w:r>
      <w:r w:rsidRPr="00F4004E">
        <w:rPr>
          <w:szCs w:val="22"/>
          <w:vertAlign w:val="subscript"/>
        </w:rPr>
        <w:t>2</w:t>
      </w:r>
      <w:r w:rsidRPr="00BB64FF">
        <w:rPr>
          <w:szCs w:val="22"/>
        </w:rPr>
        <w:t xml:space="preserve"> data used to meet the requirements of § 60.51Da shall not include substitute data values derived from the missing data procedures in subpart D of part 75 of this chapter, nor shall the data have been bias adjusted according to the procedures of part 75 of this chapter.</w:t>
      </w:r>
    </w:p>
    <w:p w:rsidR="00BB64FF" w:rsidRPr="00BB64FF" w:rsidRDefault="00BB64FF" w:rsidP="00BB64FF">
      <w:pPr>
        <w:spacing w:after="40"/>
        <w:ind w:left="20"/>
        <w:rPr>
          <w:szCs w:val="22"/>
        </w:rPr>
      </w:pPr>
      <w:r w:rsidRPr="00BB64FF">
        <w:rPr>
          <w:szCs w:val="22"/>
        </w:rPr>
        <w:t>(e) The CEMS under paragraphs (b), (c), and (d) of this section are operated and data recorded during all periods of operation of the affected facility including periods of startup, shutdown, and malfunction, except for CEMS breakdowns, repairs, calibration checks, and zero and span adjustments.</w:t>
      </w:r>
    </w:p>
    <w:p w:rsidR="00BB64FF" w:rsidRPr="00BB64FF" w:rsidRDefault="00BB64FF" w:rsidP="00BB64FF">
      <w:pPr>
        <w:spacing w:after="40"/>
        <w:ind w:left="20"/>
        <w:rPr>
          <w:szCs w:val="22"/>
        </w:rPr>
      </w:pPr>
      <w:r w:rsidRPr="00BB64FF">
        <w:rPr>
          <w:szCs w:val="22"/>
        </w:rPr>
        <w:t>(f)(1) For units that began construction, reconstruction, or modification on or before February 28, 2005, the owner or operator shall obtain emission data for at least 18 hours in at least 22 out of 30 successive boiler operating days. If this minimum data requirement cannot be met with CEMS, the owner or operator shall supplement emission data with other monitoring systems approved by the Administrator or the reference methods and procedures as described in paragraph (h) of this section.</w:t>
      </w:r>
    </w:p>
    <w:p w:rsidR="00BB64FF" w:rsidRPr="00BB64FF" w:rsidRDefault="00BB64FF" w:rsidP="00BB64FF">
      <w:pPr>
        <w:spacing w:after="40"/>
        <w:ind w:left="20"/>
        <w:rPr>
          <w:szCs w:val="22"/>
        </w:rPr>
      </w:pPr>
      <w:r w:rsidRPr="00BB64FF">
        <w:rPr>
          <w:szCs w:val="22"/>
        </w:rPr>
        <w:t>(2) For units that began construction, reconstruction, or modification after February 28, 2005, the owner or operator shall obtain emission data for at least 90 percent of all operating hours for each 30 successive boiler operating days. If this minimum data requirement cannot be met with a CEMS, the owner or operator shall supplement emission data with other monitoring systems approved by the Administrator or the reference methods and procedures as described in paragraph (h) of this section.</w:t>
      </w:r>
    </w:p>
    <w:p w:rsidR="00BB64FF" w:rsidRPr="00BB64FF" w:rsidRDefault="00BB64FF" w:rsidP="00BB64FF">
      <w:pPr>
        <w:spacing w:after="40"/>
        <w:ind w:left="20"/>
        <w:rPr>
          <w:szCs w:val="22"/>
        </w:rPr>
      </w:pPr>
      <w:r w:rsidRPr="00BB64FF">
        <w:rPr>
          <w:szCs w:val="22"/>
        </w:rPr>
        <w:lastRenderedPageBreak/>
        <w:t xml:space="preserve">(g) The 1-hour averages required under paragraph § 60.13(h) are expressed in </w:t>
      </w:r>
      <w:proofErr w:type="spellStart"/>
      <w:r w:rsidRPr="00BB64FF">
        <w:rPr>
          <w:szCs w:val="22"/>
        </w:rPr>
        <w:t>ng</w:t>
      </w:r>
      <w:proofErr w:type="spellEnd"/>
      <w:r w:rsidRPr="00BB64FF">
        <w:rPr>
          <w:szCs w:val="22"/>
        </w:rPr>
        <w:t>/J (lb/</w:t>
      </w:r>
      <w:proofErr w:type="spellStart"/>
      <w:r w:rsidRPr="00BB64FF">
        <w:rPr>
          <w:szCs w:val="22"/>
        </w:rPr>
        <w:t>MMBtu</w:t>
      </w:r>
      <w:proofErr w:type="spellEnd"/>
      <w:r w:rsidRPr="00BB64FF">
        <w:rPr>
          <w:szCs w:val="22"/>
        </w:rPr>
        <w:t>) heat input and used to calculate the average emission rates under § 60.48Da. The 1-hour averages are calculated using the data points required under § 60.13(h</w:t>
      </w:r>
      <w:proofErr w:type="gramStart"/>
      <w:r w:rsidRPr="00BB64FF">
        <w:rPr>
          <w:szCs w:val="22"/>
        </w:rPr>
        <w:t>)(</w:t>
      </w:r>
      <w:proofErr w:type="gramEnd"/>
      <w:r w:rsidRPr="00BB64FF">
        <w:rPr>
          <w:szCs w:val="22"/>
        </w:rPr>
        <w:t>2).</w:t>
      </w:r>
    </w:p>
    <w:p w:rsidR="00BB64FF" w:rsidRPr="00BB64FF" w:rsidRDefault="00BB64FF" w:rsidP="00BB64FF">
      <w:pPr>
        <w:spacing w:after="40"/>
        <w:ind w:left="20"/>
        <w:rPr>
          <w:szCs w:val="22"/>
        </w:rPr>
      </w:pPr>
      <w:r w:rsidRPr="00BB64FF">
        <w:rPr>
          <w:szCs w:val="22"/>
        </w:rPr>
        <w:t>(h) When it becomes necessary to supplement CEMS data to meet the minimum data requirements in paragraph (f) of this section, the owner or operator shall use the reference methods and procedures as specified in this paragraph. Acceptable alternative methods and procedures are given in paragraph (j) of this section.</w:t>
      </w:r>
    </w:p>
    <w:p w:rsidR="00BB64FF" w:rsidRPr="00BB64FF" w:rsidRDefault="00BB64FF" w:rsidP="00BB64FF">
      <w:pPr>
        <w:spacing w:after="40"/>
        <w:ind w:left="20"/>
        <w:rPr>
          <w:szCs w:val="22"/>
        </w:rPr>
      </w:pPr>
      <w:r w:rsidRPr="00BB64FF">
        <w:rPr>
          <w:szCs w:val="22"/>
        </w:rPr>
        <w:t>(1) Method 6 of appendix A of this part shall be used to determine the SO</w:t>
      </w:r>
      <w:r w:rsidRPr="00F4004E">
        <w:rPr>
          <w:szCs w:val="22"/>
          <w:vertAlign w:val="subscript"/>
        </w:rPr>
        <w:t>2</w:t>
      </w:r>
      <w:r w:rsidRPr="00BB64FF">
        <w:rPr>
          <w:szCs w:val="22"/>
        </w:rPr>
        <w:t xml:space="preserve"> concentration at the same location as the SO</w:t>
      </w:r>
      <w:r w:rsidRPr="00F4004E">
        <w:rPr>
          <w:szCs w:val="22"/>
          <w:vertAlign w:val="subscript"/>
        </w:rPr>
        <w:t>2</w:t>
      </w:r>
      <w:r w:rsidRPr="00BB64FF">
        <w:rPr>
          <w:szCs w:val="22"/>
        </w:rPr>
        <w:t xml:space="preserve"> monitor. Samples shall be taken at 60-minute intervals. The sampling time and sample volume for each sample shall be at least 20 minutes and 0.020 </w:t>
      </w:r>
      <w:proofErr w:type="spellStart"/>
      <w:r w:rsidRPr="00BB64FF">
        <w:rPr>
          <w:szCs w:val="22"/>
        </w:rPr>
        <w:t>dscm</w:t>
      </w:r>
      <w:proofErr w:type="spellEnd"/>
      <w:r w:rsidRPr="00BB64FF">
        <w:rPr>
          <w:szCs w:val="22"/>
        </w:rPr>
        <w:t xml:space="preserve"> (0.71 </w:t>
      </w:r>
      <w:proofErr w:type="spellStart"/>
      <w:r w:rsidRPr="00BB64FF">
        <w:rPr>
          <w:szCs w:val="22"/>
        </w:rPr>
        <w:t>dscf</w:t>
      </w:r>
      <w:proofErr w:type="spellEnd"/>
      <w:r w:rsidRPr="00BB64FF">
        <w:rPr>
          <w:szCs w:val="22"/>
        </w:rPr>
        <w:t>). Each sample represents a 1-hour average.</w:t>
      </w:r>
    </w:p>
    <w:p w:rsidR="00BB64FF" w:rsidRPr="00BB64FF" w:rsidRDefault="00BB64FF" w:rsidP="00BB64FF">
      <w:pPr>
        <w:spacing w:after="40"/>
        <w:ind w:left="20"/>
        <w:rPr>
          <w:szCs w:val="22"/>
        </w:rPr>
      </w:pPr>
      <w:r w:rsidRPr="00BB64FF">
        <w:rPr>
          <w:szCs w:val="22"/>
        </w:rPr>
        <w:t>(2) Method 7 of appendix A of this part shall be used to determine the NOX concentration at the same location as the NOX monitor. Samples shall be taken at 30-minute intervals. The arithmetic average of two consecutive samples represents a 1-hour average.</w:t>
      </w:r>
    </w:p>
    <w:p w:rsidR="00BB64FF" w:rsidRPr="00BB64FF" w:rsidRDefault="00BB64FF" w:rsidP="00BB64FF">
      <w:pPr>
        <w:spacing w:after="40"/>
        <w:ind w:left="20"/>
        <w:rPr>
          <w:szCs w:val="22"/>
        </w:rPr>
      </w:pPr>
      <w:r w:rsidRPr="00BB64FF">
        <w:rPr>
          <w:szCs w:val="22"/>
        </w:rPr>
        <w:t>(3) The emission rate correction factor, integrated bag sampling and analysis procedure of Method 3B of appendix A of this part shall be used to determine the O</w:t>
      </w:r>
      <w:r w:rsidRPr="00F4004E">
        <w:rPr>
          <w:szCs w:val="22"/>
          <w:vertAlign w:val="subscript"/>
        </w:rPr>
        <w:t>2</w:t>
      </w:r>
      <w:r w:rsidRPr="00BB64FF">
        <w:rPr>
          <w:szCs w:val="22"/>
        </w:rPr>
        <w:t xml:space="preserve"> or CO</w:t>
      </w:r>
      <w:r w:rsidRPr="00F4004E">
        <w:rPr>
          <w:szCs w:val="22"/>
          <w:vertAlign w:val="subscript"/>
        </w:rPr>
        <w:t>2</w:t>
      </w:r>
      <w:r w:rsidRPr="00BB64FF">
        <w:rPr>
          <w:szCs w:val="22"/>
        </w:rPr>
        <w:t xml:space="preserve"> concentration at the same location as the O</w:t>
      </w:r>
      <w:r w:rsidRPr="00F4004E">
        <w:rPr>
          <w:szCs w:val="22"/>
          <w:vertAlign w:val="subscript"/>
        </w:rPr>
        <w:t>2</w:t>
      </w:r>
      <w:r w:rsidRPr="00BB64FF">
        <w:rPr>
          <w:szCs w:val="22"/>
        </w:rPr>
        <w:t xml:space="preserve"> or CO</w:t>
      </w:r>
      <w:r w:rsidRPr="00F4004E">
        <w:rPr>
          <w:szCs w:val="22"/>
          <w:vertAlign w:val="subscript"/>
        </w:rPr>
        <w:t xml:space="preserve">2 </w:t>
      </w:r>
      <w:r w:rsidRPr="00BB64FF">
        <w:rPr>
          <w:szCs w:val="22"/>
        </w:rPr>
        <w:t>monitor. Samples shall be taken for at least 30 minutes in each hour. Each sample represents a 1-hour average.</w:t>
      </w:r>
    </w:p>
    <w:p w:rsidR="00BB64FF" w:rsidRPr="00BB64FF" w:rsidRDefault="00BB64FF" w:rsidP="00BB64FF">
      <w:pPr>
        <w:spacing w:after="40"/>
        <w:ind w:left="20"/>
        <w:rPr>
          <w:szCs w:val="22"/>
        </w:rPr>
      </w:pPr>
      <w:r w:rsidRPr="00BB64FF">
        <w:rPr>
          <w:szCs w:val="22"/>
        </w:rPr>
        <w:t xml:space="preserve">(4) The procedures in Method 19 of appendix A of this part shall be used to compute each 1-hour average concentration in </w:t>
      </w:r>
      <w:proofErr w:type="spellStart"/>
      <w:r w:rsidRPr="00BB64FF">
        <w:rPr>
          <w:szCs w:val="22"/>
        </w:rPr>
        <w:t>ng</w:t>
      </w:r>
      <w:proofErr w:type="spellEnd"/>
      <w:r w:rsidRPr="00BB64FF">
        <w:rPr>
          <w:szCs w:val="22"/>
        </w:rPr>
        <w:t>/J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The owner or operator shall use methods and procedures in this paragraph to conduct monitoring system performance evaluations under § 60.13(c) and calibration checks under § 60.13(d). Acceptable alternative methods and procedures are given in paragraph (j) of this section.</w:t>
      </w:r>
    </w:p>
    <w:p w:rsidR="00BB64FF" w:rsidRPr="00BB64FF" w:rsidRDefault="00BB64FF" w:rsidP="00BB64FF">
      <w:pPr>
        <w:spacing w:after="40"/>
        <w:ind w:left="20"/>
        <w:rPr>
          <w:szCs w:val="22"/>
        </w:rPr>
      </w:pPr>
      <w:r w:rsidRPr="00BB64FF">
        <w:rPr>
          <w:szCs w:val="22"/>
        </w:rPr>
        <w:t>(1) Methods 3B, 6, and 7 of appendix A of this part shall be used to determine O</w:t>
      </w:r>
      <w:r w:rsidRPr="00F4004E">
        <w:rPr>
          <w:szCs w:val="22"/>
          <w:vertAlign w:val="subscript"/>
        </w:rPr>
        <w:t>2</w:t>
      </w:r>
      <w:r w:rsidRPr="00BB64FF">
        <w:rPr>
          <w:szCs w:val="22"/>
        </w:rPr>
        <w:t>, SO</w:t>
      </w:r>
      <w:r w:rsidRPr="00F4004E">
        <w:rPr>
          <w:szCs w:val="22"/>
          <w:vertAlign w:val="subscript"/>
        </w:rPr>
        <w:t>2</w:t>
      </w:r>
      <w:r w:rsidRPr="00BB64FF">
        <w:rPr>
          <w:szCs w:val="22"/>
        </w:rPr>
        <w:t>, and NOX concentrations, respectively.</w:t>
      </w:r>
    </w:p>
    <w:p w:rsidR="00BB64FF" w:rsidRPr="00BB64FF" w:rsidRDefault="00BB64FF" w:rsidP="00BB64FF">
      <w:pPr>
        <w:spacing w:after="40"/>
        <w:ind w:left="20"/>
        <w:rPr>
          <w:szCs w:val="22"/>
        </w:rPr>
      </w:pPr>
      <w:r w:rsidRPr="00BB64FF">
        <w:rPr>
          <w:szCs w:val="22"/>
        </w:rPr>
        <w:t>(2) SO</w:t>
      </w:r>
      <w:r w:rsidRPr="00F4004E">
        <w:rPr>
          <w:szCs w:val="22"/>
          <w:vertAlign w:val="subscript"/>
        </w:rPr>
        <w:t>2</w:t>
      </w:r>
      <w:r w:rsidRPr="00BB64FF">
        <w:rPr>
          <w:szCs w:val="22"/>
        </w:rPr>
        <w:t xml:space="preserve"> or NOX (NO), as applicable, shall be used for preparing the calibration gas mixtures (in N</w:t>
      </w:r>
      <w:r w:rsidRPr="00F4004E">
        <w:rPr>
          <w:szCs w:val="22"/>
          <w:vertAlign w:val="subscript"/>
        </w:rPr>
        <w:t>2</w:t>
      </w:r>
      <w:r w:rsidRPr="00BB64FF">
        <w:rPr>
          <w:szCs w:val="22"/>
        </w:rPr>
        <w:t>, as applicable) under Performance Specification 2 of appendix B of this part.</w:t>
      </w:r>
    </w:p>
    <w:p w:rsidR="00BB64FF" w:rsidRPr="00BB64FF" w:rsidRDefault="00BB64FF" w:rsidP="00BB64FF">
      <w:pPr>
        <w:spacing w:after="40"/>
        <w:ind w:left="20"/>
        <w:rPr>
          <w:szCs w:val="22"/>
        </w:rPr>
      </w:pPr>
      <w:r w:rsidRPr="00BB64FF">
        <w:rPr>
          <w:szCs w:val="22"/>
        </w:rPr>
        <w:t xml:space="preserve">(3) For affected facilities burning only fossil fuel, the span value </w:t>
      </w:r>
      <w:proofErr w:type="gramStart"/>
      <w:r w:rsidRPr="00BB64FF">
        <w:rPr>
          <w:szCs w:val="22"/>
        </w:rPr>
        <w:t>for a</w:t>
      </w:r>
      <w:proofErr w:type="gramEnd"/>
      <w:r w:rsidRPr="00BB64FF">
        <w:rPr>
          <w:szCs w:val="22"/>
        </w:rPr>
        <w:t xml:space="preserve"> COMS is between 60 and 80 percent. Span values for a CEMS measuring NOX shall be determined using one of the following procedures:</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Except as provided under paragraph (</w:t>
      </w:r>
      <w:proofErr w:type="spellStart"/>
      <w:r w:rsidRPr="00BB64FF">
        <w:rPr>
          <w:szCs w:val="22"/>
        </w:rPr>
        <w:t>i</w:t>
      </w:r>
      <w:proofErr w:type="spellEnd"/>
      <w:proofErr w:type="gramStart"/>
      <w:r w:rsidRPr="00BB64FF">
        <w:rPr>
          <w:szCs w:val="22"/>
        </w:rPr>
        <w:t>)(</w:t>
      </w:r>
      <w:proofErr w:type="gramEnd"/>
      <w:r w:rsidRPr="00BB64FF">
        <w:rPr>
          <w:szCs w:val="22"/>
        </w:rPr>
        <w:t>3)(ii) of this section, NOX span values shall be determined as follows:</w:t>
      </w:r>
    </w:p>
    <w:p w:rsidR="00BB64FF" w:rsidRPr="00BB64FF" w:rsidRDefault="00BB64FF" w:rsidP="00BB64FF">
      <w:pPr>
        <w:spacing w:after="40"/>
        <w:ind w:left="20"/>
        <w:rPr>
          <w:szCs w:val="22"/>
        </w:rPr>
      </w:pPr>
      <w:r w:rsidRPr="00BB64FF">
        <w:rPr>
          <w:szCs w:val="22"/>
        </w:rPr>
        <w:t>Fossil fuel Span values for NOX</w:t>
      </w:r>
    </w:p>
    <w:p w:rsidR="00BB64FF" w:rsidRPr="00BB64FF" w:rsidRDefault="00BB64FF" w:rsidP="00BB64FF">
      <w:pPr>
        <w:spacing w:after="40"/>
        <w:ind w:left="20"/>
        <w:rPr>
          <w:szCs w:val="22"/>
        </w:rPr>
      </w:pPr>
      <w:r w:rsidRPr="00BB64FF">
        <w:rPr>
          <w:szCs w:val="22"/>
        </w:rPr>
        <w:t>(</w:t>
      </w:r>
      <w:proofErr w:type="gramStart"/>
      <w:r w:rsidRPr="00BB64FF">
        <w:rPr>
          <w:szCs w:val="22"/>
        </w:rPr>
        <w:t>ppm</w:t>
      </w:r>
      <w:proofErr w:type="gramEnd"/>
      <w:r w:rsidRPr="00BB64FF">
        <w:rPr>
          <w:szCs w:val="22"/>
        </w:rPr>
        <w:t xml:space="preserve">) </w:t>
      </w:r>
    </w:p>
    <w:p w:rsidR="00BB64FF" w:rsidRPr="00BB64FF" w:rsidRDefault="00BB64FF" w:rsidP="00BB64FF">
      <w:pPr>
        <w:spacing w:after="40"/>
        <w:ind w:left="20"/>
        <w:rPr>
          <w:szCs w:val="22"/>
        </w:rPr>
      </w:pPr>
      <w:proofErr w:type="gramStart"/>
      <w:r w:rsidRPr="00BB64FF">
        <w:rPr>
          <w:szCs w:val="22"/>
        </w:rPr>
        <w:t>Gas 500.</w:t>
      </w:r>
      <w:proofErr w:type="gramEnd"/>
      <w:r w:rsidRPr="00BB64FF">
        <w:rPr>
          <w:szCs w:val="22"/>
        </w:rPr>
        <w:t xml:space="preserve"> </w:t>
      </w:r>
    </w:p>
    <w:p w:rsidR="00BB64FF" w:rsidRPr="00BB64FF" w:rsidRDefault="00BB64FF" w:rsidP="00BB64FF">
      <w:pPr>
        <w:spacing w:after="40"/>
        <w:ind w:left="20"/>
        <w:rPr>
          <w:szCs w:val="22"/>
        </w:rPr>
      </w:pPr>
      <w:proofErr w:type="gramStart"/>
      <w:r w:rsidRPr="00BB64FF">
        <w:rPr>
          <w:szCs w:val="22"/>
        </w:rPr>
        <w:t>Liquid 500.</w:t>
      </w:r>
      <w:proofErr w:type="gramEnd"/>
      <w:r w:rsidRPr="00BB64FF">
        <w:rPr>
          <w:szCs w:val="22"/>
        </w:rPr>
        <w:t xml:space="preserve"> </w:t>
      </w:r>
    </w:p>
    <w:p w:rsidR="00BB64FF" w:rsidRPr="00BB64FF" w:rsidRDefault="00BB64FF" w:rsidP="00BB64FF">
      <w:pPr>
        <w:spacing w:after="40"/>
        <w:ind w:left="20"/>
        <w:rPr>
          <w:szCs w:val="22"/>
        </w:rPr>
      </w:pPr>
      <w:proofErr w:type="gramStart"/>
      <w:r w:rsidRPr="00BB64FF">
        <w:rPr>
          <w:szCs w:val="22"/>
        </w:rPr>
        <w:t>Solid 1,000.</w:t>
      </w:r>
      <w:proofErr w:type="gramEnd"/>
      <w:r w:rsidRPr="00BB64FF">
        <w:rPr>
          <w:szCs w:val="22"/>
        </w:rPr>
        <w:t xml:space="preserve"> </w:t>
      </w:r>
    </w:p>
    <w:p w:rsidR="00BB64FF" w:rsidRPr="00BB64FF" w:rsidRDefault="00BB64FF" w:rsidP="00BB64FF">
      <w:pPr>
        <w:spacing w:after="40"/>
        <w:ind w:left="20"/>
        <w:rPr>
          <w:szCs w:val="22"/>
        </w:rPr>
      </w:pPr>
      <w:proofErr w:type="gramStart"/>
      <w:r w:rsidRPr="00BB64FF">
        <w:rPr>
          <w:szCs w:val="22"/>
        </w:rPr>
        <w:t>Combination 500 (x + y) + 1,000z.</w:t>
      </w:r>
      <w:proofErr w:type="gramEnd"/>
      <w:r w:rsidRPr="00BB64FF">
        <w:rPr>
          <w:szCs w:val="22"/>
        </w:rPr>
        <w:t xml:space="preserve"> </w:t>
      </w:r>
    </w:p>
    <w:p w:rsidR="00BB64FF" w:rsidRPr="00BB64FF" w:rsidRDefault="00BB64FF" w:rsidP="00BB64FF">
      <w:pPr>
        <w:spacing w:after="40"/>
        <w:ind w:left="20"/>
        <w:rPr>
          <w:szCs w:val="22"/>
        </w:rPr>
      </w:pPr>
      <w:r w:rsidRPr="00BB64FF">
        <w:rPr>
          <w:szCs w:val="22"/>
        </w:rPr>
        <w:t>Where:</w:t>
      </w:r>
    </w:p>
    <w:p w:rsidR="00BB64FF" w:rsidRPr="00BB64FF" w:rsidRDefault="00BB64FF" w:rsidP="00BB64FF">
      <w:pPr>
        <w:spacing w:after="40"/>
        <w:ind w:left="20"/>
        <w:rPr>
          <w:szCs w:val="22"/>
        </w:rPr>
      </w:pPr>
      <w:r w:rsidRPr="00BB64FF">
        <w:rPr>
          <w:szCs w:val="22"/>
        </w:rPr>
        <w:t>x = Fraction of total heat input derived from gaseous fossil fuel,</w:t>
      </w:r>
    </w:p>
    <w:p w:rsidR="00BB64FF" w:rsidRPr="00BB64FF" w:rsidRDefault="00BB64FF" w:rsidP="00BB64FF">
      <w:pPr>
        <w:spacing w:after="40"/>
        <w:ind w:left="20"/>
        <w:rPr>
          <w:szCs w:val="22"/>
        </w:rPr>
      </w:pPr>
      <w:r w:rsidRPr="00BB64FF">
        <w:rPr>
          <w:szCs w:val="22"/>
        </w:rPr>
        <w:t>y = Fraction of total heat input derived from liquid fossil fuel, and</w:t>
      </w:r>
    </w:p>
    <w:p w:rsidR="00BB64FF" w:rsidRPr="00BB64FF" w:rsidRDefault="00BB64FF" w:rsidP="00BB64FF">
      <w:pPr>
        <w:spacing w:after="40"/>
        <w:ind w:left="20"/>
        <w:rPr>
          <w:szCs w:val="22"/>
        </w:rPr>
      </w:pPr>
      <w:r w:rsidRPr="00BB64FF">
        <w:rPr>
          <w:szCs w:val="22"/>
        </w:rPr>
        <w:t>z = Fraction of total heat input derived from solid fossil fuel.</w:t>
      </w:r>
    </w:p>
    <w:p w:rsidR="00BB64FF" w:rsidRPr="00BB64FF" w:rsidRDefault="00BB64FF" w:rsidP="00BB64FF">
      <w:pPr>
        <w:spacing w:after="40"/>
        <w:ind w:left="20"/>
        <w:rPr>
          <w:szCs w:val="22"/>
        </w:rPr>
      </w:pPr>
      <w:r w:rsidRPr="00BB64FF">
        <w:rPr>
          <w:szCs w:val="22"/>
        </w:rPr>
        <w:t>(ii) As an alternative to meeting the requirements of paragraph (</w:t>
      </w:r>
      <w:proofErr w:type="spellStart"/>
      <w:r w:rsidRPr="00BB64FF">
        <w:rPr>
          <w:szCs w:val="22"/>
        </w:rPr>
        <w:t>i</w:t>
      </w:r>
      <w:proofErr w:type="spellEnd"/>
      <w:r w:rsidRPr="00BB64FF">
        <w:rPr>
          <w:szCs w:val="22"/>
        </w:rPr>
        <w:t>)(3)(</w:t>
      </w:r>
      <w:proofErr w:type="spellStart"/>
      <w:r w:rsidRPr="00BB64FF">
        <w:rPr>
          <w:szCs w:val="22"/>
        </w:rPr>
        <w:t>i</w:t>
      </w:r>
      <w:proofErr w:type="spellEnd"/>
      <w:r w:rsidRPr="00BB64FF">
        <w:rPr>
          <w:szCs w:val="22"/>
        </w:rPr>
        <w:t>) of this section, the owner or operator of an affected facility may elect to use the NOX span values determined according to section 2.1.2 in appendix A to part 75 of this chapter.</w:t>
      </w:r>
    </w:p>
    <w:p w:rsidR="00BB64FF" w:rsidRPr="00BB64FF" w:rsidRDefault="00BB64FF" w:rsidP="00BB64FF">
      <w:pPr>
        <w:spacing w:after="40"/>
        <w:ind w:left="20"/>
        <w:rPr>
          <w:szCs w:val="22"/>
        </w:rPr>
      </w:pPr>
      <w:r w:rsidRPr="00BB64FF">
        <w:rPr>
          <w:szCs w:val="22"/>
        </w:rPr>
        <w:t>(4) All span values computed under paragraph (</w:t>
      </w:r>
      <w:proofErr w:type="spellStart"/>
      <w:r w:rsidRPr="00BB64FF">
        <w:rPr>
          <w:szCs w:val="22"/>
        </w:rPr>
        <w:t>i</w:t>
      </w:r>
      <w:proofErr w:type="spellEnd"/>
      <w:proofErr w:type="gramStart"/>
      <w:r w:rsidRPr="00BB64FF">
        <w:rPr>
          <w:szCs w:val="22"/>
        </w:rPr>
        <w:t>)(</w:t>
      </w:r>
      <w:proofErr w:type="gramEnd"/>
      <w:r w:rsidRPr="00BB64FF">
        <w:rPr>
          <w:szCs w:val="22"/>
        </w:rPr>
        <w:t>3)(</w:t>
      </w:r>
      <w:proofErr w:type="spellStart"/>
      <w:r w:rsidRPr="00BB64FF">
        <w:rPr>
          <w:szCs w:val="22"/>
        </w:rPr>
        <w:t>i</w:t>
      </w:r>
      <w:proofErr w:type="spellEnd"/>
      <w:r w:rsidRPr="00BB64FF">
        <w:rPr>
          <w:szCs w:val="22"/>
        </w:rPr>
        <w:t>) of this section for burning combinations of fossil fuels are rounded to the nearest 500 ppm. Span values computed under paragraph (</w:t>
      </w:r>
      <w:proofErr w:type="spellStart"/>
      <w:r w:rsidRPr="00BB64FF">
        <w:rPr>
          <w:szCs w:val="22"/>
        </w:rPr>
        <w:t>i</w:t>
      </w:r>
      <w:proofErr w:type="spellEnd"/>
      <w:proofErr w:type="gramStart"/>
      <w:r w:rsidRPr="00BB64FF">
        <w:rPr>
          <w:szCs w:val="22"/>
        </w:rPr>
        <w:t>)(</w:t>
      </w:r>
      <w:proofErr w:type="gramEnd"/>
      <w:r w:rsidRPr="00BB64FF">
        <w:rPr>
          <w:szCs w:val="22"/>
        </w:rPr>
        <w:t>3)(ii) of this section shall be rounded off according to section 2.1.2 in appendix A to part 75 of this chapter.</w:t>
      </w:r>
    </w:p>
    <w:p w:rsidR="00BB64FF" w:rsidRPr="00BB64FF" w:rsidRDefault="00BB64FF" w:rsidP="00BB64FF">
      <w:pPr>
        <w:spacing w:after="40"/>
        <w:ind w:left="20"/>
        <w:rPr>
          <w:szCs w:val="22"/>
        </w:rPr>
      </w:pPr>
      <w:r w:rsidRPr="00BB64FF">
        <w:rPr>
          <w:szCs w:val="22"/>
        </w:rPr>
        <w:lastRenderedPageBreak/>
        <w:t>(5) For affected facilities burning fossil fuel, alone or in combination with non-fossil fuel and determining span values under paragraph (</w:t>
      </w:r>
      <w:proofErr w:type="spellStart"/>
      <w:r w:rsidRPr="00BB64FF">
        <w:rPr>
          <w:szCs w:val="22"/>
        </w:rPr>
        <w:t>i</w:t>
      </w:r>
      <w:proofErr w:type="spellEnd"/>
      <w:proofErr w:type="gramStart"/>
      <w:r w:rsidRPr="00BB64FF">
        <w:rPr>
          <w:szCs w:val="22"/>
        </w:rPr>
        <w:t>)(</w:t>
      </w:r>
      <w:proofErr w:type="gramEnd"/>
      <w:r w:rsidRPr="00BB64FF">
        <w:rPr>
          <w:szCs w:val="22"/>
        </w:rPr>
        <w:t>3)(</w:t>
      </w:r>
      <w:proofErr w:type="spellStart"/>
      <w:r w:rsidRPr="00BB64FF">
        <w:rPr>
          <w:szCs w:val="22"/>
        </w:rPr>
        <w:t>i</w:t>
      </w:r>
      <w:proofErr w:type="spellEnd"/>
      <w:r w:rsidRPr="00BB64FF">
        <w:rPr>
          <w:szCs w:val="22"/>
        </w:rPr>
        <w:t>) of this section, the span value of the SO</w:t>
      </w:r>
      <w:r w:rsidRPr="00F4004E">
        <w:rPr>
          <w:szCs w:val="22"/>
          <w:vertAlign w:val="subscript"/>
        </w:rPr>
        <w:t>2</w:t>
      </w:r>
      <w:r w:rsidRPr="00BB64FF">
        <w:rPr>
          <w:szCs w:val="22"/>
        </w:rPr>
        <w:t xml:space="preserve"> CEMS at the inlet to the SO</w:t>
      </w:r>
      <w:r w:rsidRPr="00F4004E">
        <w:rPr>
          <w:szCs w:val="22"/>
          <w:vertAlign w:val="subscript"/>
        </w:rPr>
        <w:t>2</w:t>
      </w:r>
      <w:r w:rsidRPr="00BB64FF">
        <w:rPr>
          <w:szCs w:val="22"/>
        </w:rPr>
        <w:t xml:space="preserve"> control device is 125 percent of the maximum estimated hourly potential emissions of the fuel fired, and the outlet of the SO</w:t>
      </w:r>
      <w:r w:rsidRPr="00F4004E">
        <w:rPr>
          <w:szCs w:val="22"/>
          <w:vertAlign w:val="subscript"/>
        </w:rPr>
        <w:t>2</w:t>
      </w:r>
      <w:r w:rsidRPr="00BB64FF">
        <w:rPr>
          <w:szCs w:val="22"/>
        </w:rPr>
        <w:t xml:space="preserve"> control device is 50 percent of maximum estimated hourly potential emissions of the fuel fired. For affected facilities determining span values under paragraph (</w:t>
      </w:r>
      <w:proofErr w:type="spellStart"/>
      <w:r w:rsidRPr="00BB64FF">
        <w:rPr>
          <w:szCs w:val="22"/>
        </w:rPr>
        <w:t>i</w:t>
      </w:r>
      <w:proofErr w:type="spellEnd"/>
      <w:r w:rsidRPr="00BB64FF">
        <w:rPr>
          <w:szCs w:val="22"/>
        </w:rPr>
        <w:t>)(3)(ii) of this section, SO</w:t>
      </w:r>
      <w:r w:rsidRPr="00F4004E">
        <w:rPr>
          <w:szCs w:val="22"/>
          <w:vertAlign w:val="subscript"/>
        </w:rPr>
        <w:t>2</w:t>
      </w:r>
      <w:r w:rsidRPr="00BB64FF">
        <w:rPr>
          <w:szCs w:val="22"/>
        </w:rPr>
        <w:t xml:space="preserve"> span values shall be determined according to section 2.1.1 in appendix A to part 75 of this chapter.</w:t>
      </w:r>
    </w:p>
    <w:p w:rsidR="00BB64FF" w:rsidRPr="00BB64FF" w:rsidRDefault="00BB64FF" w:rsidP="00BB64FF">
      <w:pPr>
        <w:spacing w:after="40"/>
        <w:ind w:left="20"/>
        <w:rPr>
          <w:szCs w:val="22"/>
        </w:rPr>
      </w:pPr>
      <w:r w:rsidRPr="00BB64FF">
        <w:rPr>
          <w:szCs w:val="22"/>
        </w:rPr>
        <w:t>(j) The owner or operator may use the following as alternatives to the reference methods and procedures specified in this section:</w:t>
      </w:r>
    </w:p>
    <w:p w:rsidR="00BB64FF" w:rsidRPr="00BB64FF" w:rsidRDefault="00BB64FF" w:rsidP="00BB64FF">
      <w:pPr>
        <w:spacing w:after="40"/>
        <w:ind w:left="20"/>
        <w:rPr>
          <w:szCs w:val="22"/>
        </w:rPr>
      </w:pPr>
      <w:r w:rsidRPr="00BB64FF">
        <w:rPr>
          <w:szCs w:val="22"/>
        </w:rPr>
        <w:t>(1) For Method 6 of appendix A of this part, Method 6A or 6B (whenever Methods 6 and 3 or 3B of appendix A of this part data are used) or 6C of appendix A of this part may be used. Each Method 6B of appendix A of this part sample obtained over 24 hours represents 24 1-hour averages. If Method 6A or 6B of appendix A of this part is used under paragraph (</w:t>
      </w:r>
      <w:proofErr w:type="spellStart"/>
      <w:r w:rsidRPr="00BB64FF">
        <w:rPr>
          <w:szCs w:val="22"/>
        </w:rPr>
        <w:t>i</w:t>
      </w:r>
      <w:proofErr w:type="spellEnd"/>
      <w:r w:rsidRPr="00BB64FF">
        <w:rPr>
          <w:szCs w:val="22"/>
        </w:rPr>
        <w:t xml:space="preserve">) of this section, the conditions under § </w:t>
      </w:r>
      <w:proofErr w:type="gramStart"/>
      <w:r w:rsidRPr="00BB64FF">
        <w:rPr>
          <w:szCs w:val="22"/>
        </w:rPr>
        <w:t>60.48Da(</w:t>
      </w:r>
      <w:proofErr w:type="gramEnd"/>
      <w:r w:rsidRPr="00BB64FF">
        <w:rPr>
          <w:szCs w:val="22"/>
        </w:rPr>
        <w:t>d)(1) apply; these conditions do not apply under paragraph (h) of this section.</w:t>
      </w:r>
    </w:p>
    <w:p w:rsidR="00BB64FF" w:rsidRPr="00BB64FF" w:rsidRDefault="00BB64FF" w:rsidP="00BB64FF">
      <w:pPr>
        <w:spacing w:after="40"/>
        <w:ind w:left="20"/>
        <w:rPr>
          <w:szCs w:val="22"/>
        </w:rPr>
      </w:pPr>
      <w:r w:rsidRPr="00BB64FF">
        <w:rPr>
          <w:szCs w:val="22"/>
        </w:rPr>
        <w:t>(2) For Method 7 of appendix A of this part, Method 7A, 7C, 7D, or 7E of appendix A of this part may be used. If Method 7C, 7D, or 7E of appendix A of this part is used, the sampling time for each run shall be 1 hour.</w:t>
      </w:r>
    </w:p>
    <w:p w:rsidR="00BB64FF" w:rsidRPr="00BB64FF" w:rsidRDefault="00BB64FF" w:rsidP="00BB64FF">
      <w:pPr>
        <w:spacing w:after="40"/>
        <w:ind w:left="20"/>
        <w:rPr>
          <w:szCs w:val="22"/>
        </w:rPr>
      </w:pPr>
      <w:r w:rsidRPr="00BB64FF">
        <w:rPr>
          <w:szCs w:val="22"/>
        </w:rPr>
        <w:t>(3) For Method 3 of appendix A of this part, Method 3A or 3B of appendix A of this part may be used if the sampling time is 1 hour.</w:t>
      </w:r>
    </w:p>
    <w:p w:rsidR="00BB64FF" w:rsidRPr="00BB64FF" w:rsidRDefault="00BB64FF" w:rsidP="00BB64FF">
      <w:pPr>
        <w:spacing w:after="40"/>
        <w:ind w:left="20"/>
        <w:rPr>
          <w:szCs w:val="22"/>
        </w:rPr>
      </w:pPr>
      <w:r w:rsidRPr="00BB64FF">
        <w:rPr>
          <w:szCs w:val="22"/>
        </w:rPr>
        <w:t>(4) For Method 3B of appendix A of this part, Method 3A of appendix A of this part may be used.</w:t>
      </w:r>
    </w:p>
    <w:p w:rsidR="00BB64FF" w:rsidRPr="00BB64FF" w:rsidRDefault="00BB64FF" w:rsidP="00BB64FF">
      <w:pPr>
        <w:spacing w:after="40"/>
        <w:ind w:left="20"/>
        <w:rPr>
          <w:szCs w:val="22"/>
        </w:rPr>
      </w:pPr>
      <w:r w:rsidRPr="00BB64FF">
        <w:rPr>
          <w:szCs w:val="22"/>
        </w:rPr>
        <w:t>(k) The procedures specified in paragraphs (k</w:t>
      </w:r>
      <w:proofErr w:type="gramStart"/>
      <w:r w:rsidRPr="00BB64FF">
        <w:rPr>
          <w:szCs w:val="22"/>
        </w:rPr>
        <w:t>)(</w:t>
      </w:r>
      <w:proofErr w:type="gramEnd"/>
      <w:r w:rsidRPr="00BB64FF">
        <w:rPr>
          <w:szCs w:val="22"/>
        </w:rPr>
        <w:t>1) through (3) of this section shall be used to determine gross energy output for sources demonstrating compliance with an output-based standard.</w:t>
      </w:r>
    </w:p>
    <w:p w:rsidR="00BB64FF" w:rsidRPr="00BB64FF" w:rsidRDefault="00BB64FF" w:rsidP="00BB64FF">
      <w:pPr>
        <w:spacing w:after="40"/>
        <w:ind w:left="20"/>
        <w:rPr>
          <w:szCs w:val="22"/>
        </w:rPr>
      </w:pPr>
      <w:r w:rsidRPr="00BB64FF">
        <w:rPr>
          <w:szCs w:val="22"/>
        </w:rPr>
        <w:t>(1) The owner or operator of an affected facility with electricity generation shall install, calibrate, maintain, and operate a wattmeter; measure gross electrical output in MWh on a continuous basis; and record the output of the monitor.</w:t>
      </w:r>
    </w:p>
    <w:p w:rsidR="00BB64FF" w:rsidRPr="00BB64FF" w:rsidRDefault="00BB64FF" w:rsidP="00BB64FF">
      <w:pPr>
        <w:spacing w:after="40"/>
        <w:ind w:left="20"/>
        <w:rPr>
          <w:szCs w:val="22"/>
        </w:rPr>
      </w:pPr>
      <w:r w:rsidRPr="00BB64FF">
        <w:rPr>
          <w:szCs w:val="22"/>
        </w:rPr>
        <w:t>(2) The owner or operator of an affected facility with process steam generation shall install, calibrate, maintain, and operate meters for steam flow, temperature, and pressure; measure gross process steam output in joules per hour (or Btu per hour) on a continuous basis; and record the output of the monitor.</w:t>
      </w:r>
    </w:p>
    <w:p w:rsidR="00BB64FF" w:rsidRPr="00BB64FF" w:rsidRDefault="00BB64FF" w:rsidP="00BB64FF">
      <w:pPr>
        <w:spacing w:after="40"/>
        <w:ind w:left="20"/>
        <w:rPr>
          <w:szCs w:val="22"/>
        </w:rPr>
      </w:pPr>
      <w:r w:rsidRPr="00BB64FF">
        <w:rPr>
          <w:szCs w:val="22"/>
        </w:rPr>
        <w:t>(3) For an affected facility generating process steam in combination with electrical generation, the gross energy output is determined according to the definition of “gross energy output” specified in § 60.41Da that is applicable to the affected facility.</w:t>
      </w:r>
    </w:p>
    <w:p w:rsidR="00BB64FF" w:rsidRPr="00BB64FF" w:rsidRDefault="00BB64FF" w:rsidP="00BB64FF">
      <w:pPr>
        <w:spacing w:after="40"/>
        <w:ind w:left="20"/>
        <w:rPr>
          <w:szCs w:val="22"/>
        </w:rPr>
      </w:pPr>
      <w:r w:rsidRPr="00BB64FF">
        <w:rPr>
          <w:szCs w:val="22"/>
        </w:rPr>
        <w:t>(l) The owner or operator of an affected facility demonstrating compliance with an output-based standard shall install, certify, operate, and maintain a continuous flow monitoring system meeting the requirements of Performance Specification 6 of appendix B of this part and the calibration drift (CD) assessment, relative accuracy test audit (RATA), and reporting provisions of procedure 1 of appendix F of this part, and record the output of the system, for measuring the volumetric flow rate of exhaust gases discharged to the atmosphere; or</w:t>
      </w:r>
    </w:p>
    <w:p w:rsidR="00BB64FF" w:rsidRPr="00BB64FF" w:rsidRDefault="00BB64FF" w:rsidP="00BB64FF">
      <w:pPr>
        <w:spacing w:after="40"/>
        <w:ind w:left="20"/>
        <w:rPr>
          <w:szCs w:val="22"/>
        </w:rPr>
      </w:pPr>
      <w:r w:rsidRPr="00BB64FF">
        <w:rPr>
          <w:szCs w:val="22"/>
        </w:rPr>
        <w:t>(m) Alternatively, data from a continuous flow monitoring system certified according to the requirements of § 75.20(c) of this chapter and appendix A to part 75 of this chapter, and continuing to meet the applicable quality control and quality assurance requirements of § 75.21 of this chapter and appendix B to part 75 of this chapter, may be used. Flow rate data reported to meet the requirements of § 60.51Da shall not include substitute data values derived from the missing data procedures in subpart D of part 75 of this chapter, nor shall the data have been bias adjusted according to the procedures of part 75 of this chapter.</w:t>
      </w:r>
    </w:p>
    <w:p w:rsidR="00BB64FF" w:rsidRPr="00BB64FF" w:rsidRDefault="00BB64FF" w:rsidP="00BB64FF">
      <w:pPr>
        <w:spacing w:after="40"/>
        <w:ind w:left="20"/>
        <w:rPr>
          <w:szCs w:val="22"/>
        </w:rPr>
      </w:pPr>
      <w:r w:rsidRPr="00BB64FF">
        <w:rPr>
          <w:szCs w:val="22"/>
        </w:rPr>
        <w:t>(n) Gas-fired and oil-fired units. The owner or operator of an affected unit that qualifies as a gas-fired or oil-fired unit, as defined in 40 CFR 72.2, may use, as an alternative to the requirements specified in either paragraph (l) or (m) of this section, a fuel flow monitoring system certified and operated according to the requirements of appendix D of part 75 of this chapter.</w:t>
      </w:r>
    </w:p>
    <w:p w:rsidR="00BB64FF" w:rsidRPr="00BB64FF" w:rsidRDefault="00BB64FF" w:rsidP="00BB64FF">
      <w:pPr>
        <w:spacing w:after="40"/>
        <w:ind w:left="20"/>
        <w:rPr>
          <w:szCs w:val="22"/>
        </w:rPr>
      </w:pPr>
      <w:r w:rsidRPr="00BB64FF">
        <w:rPr>
          <w:szCs w:val="22"/>
        </w:rPr>
        <w:t xml:space="preserve">(o) The owner or operator of a duct burner, as described in § 60.41Da, which is subject to the NOX standards of § 60.44Da(a)(1), (d)(1), or (e)(1) is not required to install or operate a CEMS to measure NOX emissions; a </w:t>
      </w:r>
      <w:r w:rsidRPr="00BB64FF">
        <w:rPr>
          <w:szCs w:val="22"/>
        </w:rPr>
        <w:lastRenderedPageBreak/>
        <w:t>wattmeter to measure gross electrical output; meters to measure steam flow, temperature, and pressure; and a continuous flow monitoring system to measure the flow of exhaust gases discharged to the atmosphere.</w:t>
      </w:r>
    </w:p>
    <w:p w:rsidR="00451631" w:rsidRDefault="00451631" w:rsidP="00BB64FF">
      <w:pPr>
        <w:spacing w:after="40"/>
        <w:ind w:left="20"/>
        <w:rPr>
          <w:szCs w:val="22"/>
        </w:rPr>
      </w:pPr>
    </w:p>
    <w:p w:rsidR="00BB64FF" w:rsidRPr="00BB64FF" w:rsidRDefault="00BB64FF" w:rsidP="00BB64FF">
      <w:pPr>
        <w:spacing w:after="40"/>
        <w:ind w:left="20"/>
        <w:rPr>
          <w:szCs w:val="22"/>
        </w:rPr>
      </w:pPr>
      <w:r w:rsidRPr="00BB64FF">
        <w:rPr>
          <w:szCs w:val="22"/>
        </w:rPr>
        <w:t>(p)-(r) [Reserved]</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(s) The owner or operator shall prepare and submit to the Administrator for approval a unit-specific monitoring plan for each monitoring system, at least 45 days before commencing certification testing of the monitoring systems. The owner or operator shall comply with the requirements in your plan. The plan must address the requirements in paragraphs (s</w:t>
      </w:r>
      <w:proofErr w:type="gramStart"/>
      <w:r w:rsidRPr="00BB64FF">
        <w:rPr>
          <w:szCs w:val="22"/>
        </w:rPr>
        <w:t>)(</w:t>
      </w:r>
      <w:proofErr w:type="gramEnd"/>
      <w:r w:rsidRPr="00BB64FF">
        <w:rPr>
          <w:szCs w:val="22"/>
        </w:rPr>
        <w:t>1) through (6) of this section.</w:t>
      </w:r>
    </w:p>
    <w:p w:rsidR="00BB64FF" w:rsidRPr="00BB64FF" w:rsidRDefault="00BB64FF" w:rsidP="00BB64FF">
      <w:pPr>
        <w:spacing w:after="40"/>
        <w:ind w:left="20"/>
        <w:rPr>
          <w:szCs w:val="22"/>
        </w:rPr>
      </w:pPr>
      <w:r w:rsidRPr="00BB64FF">
        <w:rPr>
          <w:szCs w:val="22"/>
        </w:rPr>
        <w:t>(1) Installation of the CEMS sampling probe or other interface at a measurement location relative to each affected process unit such that the measurement is representative of the exhaust emissions ( e.g. , on or downstream of the last control device);</w:t>
      </w:r>
    </w:p>
    <w:p w:rsidR="00BB64FF" w:rsidRPr="00BB64FF" w:rsidRDefault="00BB64FF" w:rsidP="00BB64FF">
      <w:pPr>
        <w:spacing w:after="40"/>
        <w:ind w:left="20"/>
        <w:rPr>
          <w:szCs w:val="22"/>
        </w:rPr>
      </w:pPr>
      <w:r w:rsidRPr="00BB64FF">
        <w:rPr>
          <w:szCs w:val="22"/>
        </w:rPr>
        <w:t>(2) Performance and equipment specifications for the sample interface, the pollutant concentration or parametric signal analyzer, and the data collection and reduction systems;</w:t>
      </w:r>
    </w:p>
    <w:p w:rsidR="00BB64FF" w:rsidRPr="00BB64FF" w:rsidRDefault="00BB64FF" w:rsidP="00BB64FF">
      <w:pPr>
        <w:spacing w:after="40"/>
        <w:ind w:left="20"/>
        <w:rPr>
          <w:szCs w:val="22"/>
        </w:rPr>
      </w:pPr>
      <w:r w:rsidRPr="00BB64FF">
        <w:rPr>
          <w:szCs w:val="22"/>
        </w:rPr>
        <w:t xml:space="preserve">(3) Performance evaluation procedures and acceptance criteria </w:t>
      </w:r>
      <w:proofErr w:type="gramStart"/>
      <w:r w:rsidRPr="00BB64FF">
        <w:rPr>
          <w:szCs w:val="22"/>
        </w:rPr>
        <w:t>( e.g</w:t>
      </w:r>
      <w:proofErr w:type="gramEnd"/>
      <w:r w:rsidRPr="00BB64FF">
        <w:rPr>
          <w:szCs w:val="22"/>
        </w:rPr>
        <w:t>., calibrations, relative accuracy test audits (RATA), etc.);</w:t>
      </w:r>
    </w:p>
    <w:p w:rsidR="00BB64FF" w:rsidRPr="00BB64FF" w:rsidRDefault="00BB64FF" w:rsidP="00BB64FF">
      <w:pPr>
        <w:spacing w:after="40"/>
        <w:ind w:left="20"/>
        <w:rPr>
          <w:szCs w:val="22"/>
        </w:rPr>
      </w:pPr>
      <w:r w:rsidRPr="00BB64FF">
        <w:rPr>
          <w:szCs w:val="22"/>
        </w:rPr>
        <w:t>(4) Ongoing operation and maintenance procedures in accordance with the general requirements of § 60.13(d) or part 75 of this chapter (as applicable);</w:t>
      </w:r>
    </w:p>
    <w:p w:rsidR="00BB64FF" w:rsidRPr="00BB64FF" w:rsidRDefault="00BB64FF" w:rsidP="00BB64FF">
      <w:pPr>
        <w:spacing w:after="40"/>
        <w:ind w:left="20"/>
        <w:rPr>
          <w:szCs w:val="22"/>
        </w:rPr>
      </w:pPr>
      <w:r w:rsidRPr="00BB64FF">
        <w:rPr>
          <w:szCs w:val="22"/>
        </w:rPr>
        <w:t>(5) Ongoing data quality assurance procedures in accordance with the general requirements of § 60.13 or part 75 of this chapter (as applicable); and</w:t>
      </w:r>
    </w:p>
    <w:p w:rsidR="00BB64FF" w:rsidRPr="00BB64FF" w:rsidRDefault="00BB64FF" w:rsidP="00BB64FF">
      <w:pPr>
        <w:spacing w:after="40"/>
        <w:ind w:left="20"/>
        <w:rPr>
          <w:szCs w:val="22"/>
        </w:rPr>
      </w:pPr>
      <w:r w:rsidRPr="00BB64FF">
        <w:rPr>
          <w:szCs w:val="22"/>
        </w:rPr>
        <w:t>(6) Ongoing recordkeeping and reporting procedures in accordance with the requirements of this subpart.</w:t>
      </w:r>
    </w:p>
    <w:p w:rsidR="00BB64FF" w:rsidRPr="00BB64FF" w:rsidRDefault="00BB64FF" w:rsidP="00BB64FF">
      <w:pPr>
        <w:spacing w:after="40"/>
        <w:ind w:left="20"/>
        <w:rPr>
          <w:szCs w:val="22"/>
        </w:rPr>
      </w:pPr>
      <w:r w:rsidRPr="00BB64FF">
        <w:rPr>
          <w:szCs w:val="22"/>
        </w:rPr>
        <w:t>(t) The owner or operator of an affected facility demonstrating compliance with the output-based emissions limit under § 60.42Da must either install, certify, operate, and maintain a CEMS for measuring PM emissions according to the requirements of paragraph (v) of this section or install, calibrate, operate, and maintain a PM CPMS according to the requirements for new facilities specified in subpart UUUUU of part 63 of this chapter. An owner or operator of an affected facility demonstrating compliance with the input-based emissions limit in § 60.42Da may install, certify, operate, and maintain a CEMS for measuring PM emissions according to the requirements of paragraph (v) of this section.</w:t>
      </w:r>
    </w:p>
    <w:p w:rsidR="00BB64FF" w:rsidRPr="00BB64FF" w:rsidRDefault="00BB64FF" w:rsidP="00BB64FF">
      <w:pPr>
        <w:spacing w:after="40"/>
        <w:ind w:left="20"/>
        <w:rPr>
          <w:szCs w:val="22"/>
        </w:rPr>
      </w:pPr>
      <w:r w:rsidRPr="00BB64FF">
        <w:rPr>
          <w:szCs w:val="22"/>
        </w:rPr>
        <w:t>(u) The owner or operator of an affected facility using a CEMS measuring CO emissions to meet requirements of this subpart shall meet the requirements specified in paragraphs (u</w:t>
      </w:r>
      <w:proofErr w:type="gramStart"/>
      <w:r w:rsidRPr="00BB64FF">
        <w:rPr>
          <w:szCs w:val="22"/>
        </w:rPr>
        <w:t>)(</w:t>
      </w:r>
      <w:proofErr w:type="gramEnd"/>
      <w:r w:rsidRPr="00BB64FF">
        <w:rPr>
          <w:szCs w:val="22"/>
        </w:rPr>
        <w:t>1) through (4) of this section.</w:t>
      </w:r>
    </w:p>
    <w:p w:rsidR="00BB64FF" w:rsidRPr="00BB64FF" w:rsidRDefault="00BB64FF" w:rsidP="00BB64FF">
      <w:pPr>
        <w:spacing w:after="40"/>
        <w:ind w:left="20"/>
        <w:rPr>
          <w:szCs w:val="22"/>
        </w:rPr>
      </w:pPr>
      <w:r w:rsidRPr="00BB64FF">
        <w:rPr>
          <w:szCs w:val="22"/>
        </w:rPr>
        <w:t>(1) You must monitor CO emissions using a CEMS according to the procedures specified in paragraphs (u</w:t>
      </w:r>
      <w:proofErr w:type="gramStart"/>
      <w:r w:rsidRPr="00BB64FF">
        <w:rPr>
          <w:szCs w:val="22"/>
        </w:rPr>
        <w:t>)(</w:t>
      </w:r>
      <w:proofErr w:type="gramEnd"/>
      <w:r w:rsidRPr="00BB64FF">
        <w:rPr>
          <w:szCs w:val="22"/>
        </w:rPr>
        <w:t>1)(</w:t>
      </w:r>
      <w:proofErr w:type="spellStart"/>
      <w:r w:rsidRPr="00BB64FF">
        <w:rPr>
          <w:szCs w:val="22"/>
        </w:rPr>
        <w:t>i</w:t>
      </w:r>
      <w:proofErr w:type="spellEnd"/>
      <w:r w:rsidRPr="00BB64FF">
        <w:rPr>
          <w:szCs w:val="22"/>
        </w:rPr>
        <w:t>) through (iv)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The CO CEMS must be installed, certified, maintained, and operated according to the provisions in § </w:t>
      </w:r>
      <w:proofErr w:type="gramStart"/>
      <w:r w:rsidRPr="00BB64FF">
        <w:rPr>
          <w:szCs w:val="22"/>
        </w:rPr>
        <w:t>60.58b(</w:t>
      </w:r>
      <w:proofErr w:type="spellStart"/>
      <w:proofErr w:type="gramEnd"/>
      <w:r w:rsidRPr="00BB64FF">
        <w:rPr>
          <w:szCs w:val="22"/>
        </w:rPr>
        <w:t>i</w:t>
      </w:r>
      <w:proofErr w:type="spellEnd"/>
      <w:r w:rsidRPr="00BB64FF">
        <w:rPr>
          <w:szCs w:val="22"/>
        </w:rPr>
        <w:t xml:space="preserve">)(3) of subpart </w:t>
      </w:r>
      <w:proofErr w:type="spellStart"/>
      <w:r w:rsidRPr="00BB64FF">
        <w:rPr>
          <w:szCs w:val="22"/>
        </w:rPr>
        <w:t>Eb</w:t>
      </w:r>
      <w:proofErr w:type="spellEnd"/>
      <w:r w:rsidRPr="00BB64FF">
        <w:rPr>
          <w:szCs w:val="22"/>
        </w:rPr>
        <w:t xml:space="preserve"> of this part.</w:t>
      </w:r>
    </w:p>
    <w:p w:rsidR="00BB64FF" w:rsidRPr="00BB64FF" w:rsidRDefault="00BB64FF" w:rsidP="00BB64FF">
      <w:pPr>
        <w:spacing w:after="40"/>
        <w:ind w:left="20"/>
        <w:rPr>
          <w:szCs w:val="22"/>
        </w:rPr>
      </w:pPr>
      <w:r w:rsidRPr="00BB64FF">
        <w:rPr>
          <w:szCs w:val="22"/>
        </w:rPr>
        <w:t>(ii) Each 1-hour CO emissions average is calculated using the data points generated by the CO CEMS expressed in parts per million by volume corrected to 3 percent oxygen (dry basis).</w:t>
      </w:r>
    </w:p>
    <w:p w:rsidR="00BB64FF" w:rsidRPr="00BB64FF" w:rsidRDefault="00BB64FF" w:rsidP="00BB64FF">
      <w:pPr>
        <w:spacing w:after="40"/>
        <w:ind w:left="20"/>
        <w:rPr>
          <w:szCs w:val="22"/>
        </w:rPr>
      </w:pPr>
      <w:r w:rsidRPr="00BB64FF">
        <w:rPr>
          <w:szCs w:val="22"/>
        </w:rPr>
        <w:t>(iii) At a minimum, non-out-of-control 1-hour CO emissions averages must be obtained for at least 90 percent of the operating hours on a 30-boiler operating day rolling average basis. The 1-hour averages are calculated using the data points required in § 60.13(h</w:t>
      </w:r>
      <w:proofErr w:type="gramStart"/>
      <w:r w:rsidRPr="00BB64FF">
        <w:rPr>
          <w:szCs w:val="22"/>
        </w:rPr>
        <w:t>)(</w:t>
      </w:r>
      <w:proofErr w:type="gramEnd"/>
      <w:r w:rsidRPr="00BB64FF">
        <w:rPr>
          <w:szCs w:val="22"/>
        </w:rPr>
        <w:t>2).</w:t>
      </w:r>
    </w:p>
    <w:p w:rsidR="00BB64FF" w:rsidRPr="00BB64FF" w:rsidRDefault="00BB64FF" w:rsidP="00BB64FF">
      <w:pPr>
        <w:spacing w:after="40"/>
        <w:ind w:left="20"/>
        <w:rPr>
          <w:szCs w:val="22"/>
        </w:rPr>
      </w:pPr>
      <w:proofErr w:type="gramStart"/>
      <w:r w:rsidRPr="00BB64FF">
        <w:rPr>
          <w:szCs w:val="22"/>
        </w:rPr>
        <w:t>(iv) Quarterly</w:t>
      </w:r>
      <w:proofErr w:type="gramEnd"/>
      <w:r w:rsidRPr="00BB64FF">
        <w:rPr>
          <w:szCs w:val="22"/>
        </w:rPr>
        <w:t xml:space="preserve"> accuracy determinations and daily calibration drift tests for the CO CEMS must be performed in accordance with procedure 1 in appendix F of this part.</w:t>
      </w:r>
    </w:p>
    <w:p w:rsidR="00BB64FF" w:rsidRPr="00BB64FF" w:rsidRDefault="00BB64FF" w:rsidP="00BB64FF">
      <w:pPr>
        <w:spacing w:after="40"/>
        <w:ind w:left="20"/>
        <w:rPr>
          <w:szCs w:val="22"/>
        </w:rPr>
      </w:pPr>
      <w:r w:rsidRPr="00BB64FF">
        <w:rPr>
          <w:szCs w:val="22"/>
        </w:rPr>
        <w:t>(2) You must calculate the 1-hour average CO emissions levels for each boiler operating day by multiplying the average hourly CO output concentration measured by the CO CEMS times the corresponding average hourly flue gas flow rate and divided by the corresponding average hourly useful energy output from the affected facility. The 24-hour average CO emission level is determined by calculating the arithmetic average of the hourly CO emission levels computed for each boiler operating day.</w:t>
      </w:r>
    </w:p>
    <w:p w:rsidR="00BB64FF" w:rsidRPr="00BB64FF" w:rsidRDefault="00BB64FF" w:rsidP="00BB64FF">
      <w:pPr>
        <w:spacing w:after="40"/>
        <w:ind w:left="20"/>
        <w:rPr>
          <w:szCs w:val="22"/>
        </w:rPr>
      </w:pPr>
      <w:r w:rsidRPr="00BB64FF">
        <w:rPr>
          <w:szCs w:val="22"/>
        </w:rPr>
        <w:lastRenderedPageBreak/>
        <w:t>(3) You must evaluate the preceding 24-hour average CO emission level each boiler operating day excluding periods of affected facility startup, shutdown, or malfunction. If the 24-hour average CO emission level is greater than 1.4 lb/MWh,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1.4 lb/MWh or less.</w:t>
      </w:r>
    </w:p>
    <w:p w:rsidR="00BB64FF" w:rsidRPr="00BB64FF" w:rsidRDefault="00BB64FF" w:rsidP="00BB64FF">
      <w:pPr>
        <w:spacing w:after="40"/>
        <w:ind w:left="20"/>
        <w:rPr>
          <w:szCs w:val="22"/>
        </w:rPr>
      </w:pPr>
      <w:r w:rsidRPr="00BB64FF">
        <w:rPr>
          <w:szCs w:val="22"/>
        </w:rPr>
        <w:t>(4) You must record the CO measurements and calculations performed according to paragraph (u</w:t>
      </w:r>
      <w:proofErr w:type="gramStart"/>
      <w:r w:rsidRPr="00BB64FF">
        <w:rPr>
          <w:szCs w:val="22"/>
        </w:rPr>
        <w:t>)(</w:t>
      </w:r>
      <w:proofErr w:type="gramEnd"/>
      <w:r w:rsidRPr="00BB64FF">
        <w:rPr>
          <w:szCs w:val="22"/>
        </w:rPr>
        <w:t>3) of this section and any corrective actions taken. The record of corrective action taken must include the date and time during which the 24-hour average CO emission level was greater than 1.4 lb/MWh, and the date, time, and description of the corrective action.</w:t>
      </w:r>
    </w:p>
    <w:p w:rsidR="00BB64FF" w:rsidRPr="00BB64FF" w:rsidRDefault="00BB64FF" w:rsidP="00BB64FF">
      <w:pPr>
        <w:spacing w:after="40"/>
        <w:ind w:left="20"/>
        <w:rPr>
          <w:szCs w:val="22"/>
        </w:rPr>
      </w:pPr>
      <w:r w:rsidRPr="00BB64FF">
        <w:rPr>
          <w:szCs w:val="22"/>
        </w:rPr>
        <w:t>(v) The owner or operator of an affected facility using a CEMS measuring PM emissions to meet requirements of this subpart shall install, certify, operate, and maintain the CEMS as specified in paragraphs (v)(1) through (v)(4) of this section.</w:t>
      </w:r>
    </w:p>
    <w:p w:rsidR="00BB64FF" w:rsidRPr="00BB64FF" w:rsidRDefault="00BB64FF" w:rsidP="00BB64FF">
      <w:pPr>
        <w:spacing w:after="40"/>
        <w:ind w:left="20"/>
        <w:rPr>
          <w:szCs w:val="22"/>
        </w:rPr>
      </w:pPr>
      <w:r w:rsidRPr="00BB64FF">
        <w:rPr>
          <w:szCs w:val="22"/>
        </w:rPr>
        <w:t>(1) The owner or operator shall conduct a performance evaluation of the CEMS according to the applicable requirements of § 60.13, Performance Specification 11 in appendix B of this part, and procedure 2 in appendix F of this part.</w:t>
      </w:r>
    </w:p>
    <w:p w:rsidR="00BB64FF" w:rsidRPr="00BB64FF" w:rsidRDefault="00BB64FF" w:rsidP="00BB64FF">
      <w:pPr>
        <w:spacing w:after="40"/>
        <w:ind w:left="20"/>
        <w:rPr>
          <w:szCs w:val="22"/>
        </w:rPr>
      </w:pPr>
      <w:r w:rsidRPr="00BB64FF">
        <w:rPr>
          <w:szCs w:val="22"/>
        </w:rPr>
        <w:t>(2) During each PM correlation testing run of the CEMS required by Performance Specification 11 in appendix B of this part, PM and O</w:t>
      </w:r>
      <w:r w:rsidRPr="00F4004E">
        <w:rPr>
          <w:szCs w:val="22"/>
          <w:vertAlign w:val="subscript"/>
        </w:rPr>
        <w:t>2</w:t>
      </w:r>
      <w:r w:rsidRPr="00BB64FF">
        <w:rPr>
          <w:szCs w:val="22"/>
        </w:rPr>
        <w:t xml:space="preserve"> (or CO</w:t>
      </w:r>
      <w:r w:rsidRPr="00F4004E">
        <w:rPr>
          <w:szCs w:val="22"/>
          <w:vertAlign w:val="subscript"/>
        </w:rPr>
        <w:t>2</w:t>
      </w:r>
      <w:r w:rsidRPr="00BB64FF">
        <w:rPr>
          <w:szCs w:val="22"/>
        </w:rPr>
        <w:t>) data shall be collected concurrently (or within a 30- to 60-minute period) by both the CEMS and performance tests conducted using the following test methods.</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For PM, Method 5 or 5B of appendix A-3 of this part or Method 17 of appendix A-6 of this part shall be used; and</w:t>
      </w:r>
    </w:p>
    <w:p w:rsidR="00BB64FF" w:rsidRPr="00BB64FF" w:rsidRDefault="00BB64FF" w:rsidP="00BB64FF">
      <w:pPr>
        <w:spacing w:after="40"/>
        <w:ind w:left="20"/>
        <w:rPr>
          <w:szCs w:val="22"/>
        </w:rPr>
      </w:pPr>
      <w:r w:rsidRPr="00BB64FF">
        <w:rPr>
          <w:szCs w:val="22"/>
        </w:rPr>
        <w:t>(ii) For O</w:t>
      </w:r>
      <w:r w:rsidRPr="00F4004E">
        <w:rPr>
          <w:szCs w:val="22"/>
          <w:vertAlign w:val="subscript"/>
        </w:rPr>
        <w:t xml:space="preserve">2 </w:t>
      </w:r>
      <w:r w:rsidRPr="00BB64FF">
        <w:rPr>
          <w:szCs w:val="22"/>
        </w:rPr>
        <w:t>(or CO</w:t>
      </w:r>
      <w:r w:rsidRPr="00F4004E">
        <w:rPr>
          <w:szCs w:val="22"/>
          <w:vertAlign w:val="subscript"/>
        </w:rPr>
        <w:t>2</w:t>
      </w:r>
      <w:r w:rsidRPr="00BB64FF">
        <w:rPr>
          <w:szCs w:val="22"/>
        </w:rPr>
        <w:t>), Method 3A or 3B of appendix A-2 of this part, as applicable shall be used.</w:t>
      </w:r>
    </w:p>
    <w:p w:rsidR="00BB64FF" w:rsidRPr="00BB64FF" w:rsidRDefault="00BB64FF" w:rsidP="00BB64FF">
      <w:pPr>
        <w:spacing w:after="40"/>
        <w:ind w:left="20"/>
        <w:rPr>
          <w:szCs w:val="22"/>
        </w:rPr>
      </w:pPr>
      <w:r w:rsidRPr="00BB64FF">
        <w:rPr>
          <w:szCs w:val="22"/>
        </w:rPr>
        <w:t>(3)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BB64FF" w:rsidRPr="00BB64FF" w:rsidRDefault="00BB64FF" w:rsidP="00BB64FF">
      <w:pPr>
        <w:spacing w:after="40"/>
        <w:ind w:left="20"/>
        <w:rPr>
          <w:szCs w:val="22"/>
        </w:rPr>
      </w:pPr>
      <w:r w:rsidRPr="00BB64FF">
        <w:rPr>
          <w:szCs w:val="22"/>
        </w:rPr>
        <w:t xml:space="preserve">(4) As of January 1, 2012, and within 90 days after the date of completing each performance test, as defined in § 60.8, conducted to demonstrate compliance with this subpart, you must submit relative accuracy test audit ( i.e., reference method) data and performance test ( i.e., compliance test) data, except opacity data, electronically to EPA's Central Data Exchange (CDX) by using the Electronic Reporting Tool (ERT) (see http://www.epa.gov/ttn/chief/ert/ert tool.html/ ) or other compatible electronic spreadsheet. Only data collected using test methods compatible with ERT are subject to this requirement to be submitted electronically into EPA's </w:t>
      </w:r>
      <w:proofErr w:type="spellStart"/>
      <w:r w:rsidRPr="00BB64FF">
        <w:rPr>
          <w:szCs w:val="22"/>
        </w:rPr>
        <w:t>WebFire</w:t>
      </w:r>
      <w:proofErr w:type="spellEnd"/>
      <w:r w:rsidRPr="00BB64FF">
        <w:rPr>
          <w:szCs w:val="22"/>
        </w:rPr>
        <w:t xml:space="preserve"> database.</w:t>
      </w:r>
    </w:p>
    <w:p w:rsidR="00BB64FF" w:rsidRPr="00BB64FF" w:rsidRDefault="00BB64FF" w:rsidP="00BB64FF">
      <w:pPr>
        <w:spacing w:after="40"/>
        <w:ind w:left="20"/>
        <w:rPr>
          <w:szCs w:val="22"/>
        </w:rPr>
      </w:pPr>
      <w:r w:rsidRPr="00BB64FF">
        <w:rPr>
          <w:szCs w:val="22"/>
        </w:rPr>
        <w:t>(w) The owner or operator using a SO</w:t>
      </w:r>
      <w:r w:rsidRPr="00F4004E">
        <w:rPr>
          <w:szCs w:val="22"/>
          <w:vertAlign w:val="subscript"/>
        </w:rPr>
        <w:t>2</w:t>
      </w:r>
      <w:r w:rsidRPr="00BB64FF">
        <w:rPr>
          <w:szCs w:val="22"/>
        </w:rPr>
        <w:t>, NOX , CO</w:t>
      </w:r>
      <w:r w:rsidRPr="00F4004E">
        <w:rPr>
          <w:szCs w:val="22"/>
          <w:vertAlign w:val="subscript"/>
        </w:rPr>
        <w:t>2</w:t>
      </w:r>
      <w:r w:rsidRPr="00BB64FF">
        <w:rPr>
          <w:szCs w:val="22"/>
        </w:rPr>
        <w:t>, and O</w:t>
      </w:r>
      <w:r w:rsidRPr="00F4004E">
        <w:rPr>
          <w:szCs w:val="22"/>
          <w:vertAlign w:val="subscript"/>
        </w:rPr>
        <w:t>2</w:t>
      </w:r>
      <w:r w:rsidRPr="00BB64FF">
        <w:rPr>
          <w:szCs w:val="22"/>
        </w:rPr>
        <w:t xml:space="preserve"> CEMS to meet the requirements of this subpart shall install, certify, operate, and maintain the CEMS as specified in paragraphs (w)(1) through (w)(5) of this section.</w:t>
      </w:r>
    </w:p>
    <w:p w:rsidR="00BB64FF" w:rsidRPr="00BB64FF" w:rsidRDefault="00BB64FF" w:rsidP="00BB64FF">
      <w:pPr>
        <w:spacing w:after="40"/>
        <w:ind w:left="20"/>
        <w:rPr>
          <w:szCs w:val="22"/>
        </w:rPr>
      </w:pPr>
      <w:r w:rsidRPr="00BB64FF">
        <w:rPr>
          <w:szCs w:val="22"/>
        </w:rPr>
        <w:t>(1) Except as provided for under paragraphs (w)(2), (w)(3), and (w)(4) of this section, each SO</w:t>
      </w:r>
      <w:r w:rsidRPr="00F4004E">
        <w:rPr>
          <w:szCs w:val="22"/>
          <w:vertAlign w:val="subscript"/>
        </w:rPr>
        <w:t>2</w:t>
      </w:r>
      <w:r w:rsidRPr="00BB64FF">
        <w:rPr>
          <w:szCs w:val="22"/>
        </w:rPr>
        <w:t>, NOX, CO</w:t>
      </w:r>
      <w:r w:rsidRPr="00F4004E">
        <w:rPr>
          <w:szCs w:val="22"/>
          <w:vertAlign w:val="subscript"/>
        </w:rPr>
        <w:t>2</w:t>
      </w:r>
      <w:r w:rsidRPr="00BB64FF">
        <w:rPr>
          <w:szCs w:val="22"/>
        </w:rPr>
        <w:t>, and O</w:t>
      </w:r>
      <w:r w:rsidRPr="00F4004E">
        <w:rPr>
          <w:szCs w:val="22"/>
          <w:vertAlign w:val="subscript"/>
        </w:rPr>
        <w:t>2</w:t>
      </w:r>
      <w:r w:rsidRPr="00BB64FF">
        <w:rPr>
          <w:szCs w:val="22"/>
        </w:rPr>
        <w:t xml:space="preserve"> CEMS required under paragraphs (b) through (d) of this section shall be installed, certified, and operated in accordance with the applicable procedures in Performance Specification 2 or 3 in appendix B to this part or according to the procedures in appendices A and B to part 75 of this chapter. Daily calibration drift assessments and quarterly accuracy determinations shall be done in accordance with Procedure 1 in appendix F to this part, and a data assessment report (DAR), prepared according to section 7 of Procedure 1 in appendix F to this part, shall be submitted with each compliance report required under § 60.51Da.</w:t>
      </w:r>
    </w:p>
    <w:p w:rsidR="00BB64FF" w:rsidRPr="00BB64FF" w:rsidRDefault="00BB64FF" w:rsidP="00BB64FF">
      <w:pPr>
        <w:spacing w:after="40"/>
        <w:ind w:left="20"/>
        <w:rPr>
          <w:szCs w:val="22"/>
        </w:rPr>
      </w:pPr>
      <w:r w:rsidRPr="00BB64FF">
        <w:rPr>
          <w:szCs w:val="22"/>
        </w:rPr>
        <w:t>(2) As an alternative to meeting the requirements of paragraph (w</w:t>
      </w:r>
      <w:proofErr w:type="gramStart"/>
      <w:r w:rsidRPr="00BB64FF">
        <w:rPr>
          <w:szCs w:val="22"/>
        </w:rPr>
        <w:t>)(</w:t>
      </w:r>
      <w:proofErr w:type="gramEnd"/>
      <w:r w:rsidRPr="00BB64FF">
        <w:rPr>
          <w:szCs w:val="22"/>
        </w:rPr>
        <w:t>1) of this section, an owner or operator may elect to implement the following alternative data accuracy assessment procedures. For all required CO</w:t>
      </w:r>
      <w:r w:rsidRPr="00F4004E">
        <w:rPr>
          <w:szCs w:val="22"/>
          <w:vertAlign w:val="subscript"/>
        </w:rPr>
        <w:t>2</w:t>
      </w:r>
      <w:r w:rsidRPr="00BB64FF">
        <w:rPr>
          <w:szCs w:val="22"/>
        </w:rPr>
        <w:t xml:space="preserve"> and O</w:t>
      </w:r>
      <w:r w:rsidRPr="00F4004E">
        <w:rPr>
          <w:szCs w:val="22"/>
          <w:vertAlign w:val="subscript"/>
        </w:rPr>
        <w:t xml:space="preserve">2 </w:t>
      </w:r>
      <w:r w:rsidRPr="00BB64FF">
        <w:rPr>
          <w:szCs w:val="22"/>
        </w:rPr>
        <w:t>CEMS and for SO</w:t>
      </w:r>
      <w:r w:rsidRPr="00F4004E">
        <w:rPr>
          <w:szCs w:val="22"/>
          <w:vertAlign w:val="subscript"/>
        </w:rPr>
        <w:t>2</w:t>
      </w:r>
      <w:r w:rsidRPr="00BB64FF">
        <w:rPr>
          <w:szCs w:val="22"/>
        </w:rPr>
        <w:t xml:space="preserve"> and NOX CEMS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w:t>
      </w:r>
      <w:r w:rsidRPr="00BB64FF">
        <w:rPr>
          <w:szCs w:val="22"/>
        </w:rPr>
        <w:lastRenderedPageBreak/>
        <w:t>of this part. If this option is selected, the data validation and out-of-control provisions in sections 2.1.4 and 2.1.5 of appendix B to part 75 of this chapter shall be followed instead of the excessive CD and out-of-control criteria in Procedure 1, section 4.3 of appendix F to this part. For the purposes of data validation under this subpart, the excessive CD and out-of-control criteria in Procedure 1, section 4.3 of appendix F to this part shall apply to SO</w:t>
      </w:r>
      <w:r w:rsidRPr="00F4004E">
        <w:rPr>
          <w:szCs w:val="22"/>
          <w:vertAlign w:val="subscript"/>
        </w:rPr>
        <w:t xml:space="preserve">2 </w:t>
      </w:r>
      <w:r w:rsidRPr="00BB64FF">
        <w:rPr>
          <w:szCs w:val="22"/>
        </w:rPr>
        <w:t>and NOX span values less than 100 ppm;</w:t>
      </w:r>
    </w:p>
    <w:p w:rsidR="00BB64FF" w:rsidRPr="00BB64FF" w:rsidRDefault="00BB64FF" w:rsidP="00BB64FF">
      <w:pPr>
        <w:spacing w:after="40"/>
        <w:ind w:left="20"/>
        <w:rPr>
          <w:szCs w:val="22"/>
        </w:rPr>
      </w:pPr>
      <w:r w:rsidRPr="00BB64FF">
        <w:rPr>
          <w:szCs w:val="22"/>
        </w:rPr>
        <w:t>(3) As an alternative to meeting the requirements of paragraph (w</w:t>
      </w:r>
      <w:proofErr w:type="gramStart"/>
      <w:r w:rsidRPr="00BB64FF">
        <w:rPr>
          <w:szCs w:val="22"/>
        </w:rPr>
        <w:t>)(</w:t>
      </w:r>
      <w:proofErr w:type="gramEnd"/>
      <w:r w:rsidRPr="00BB64FF">
        <w:rPr>
          <w:szCs w:val="22"/>
        </w:rPr>
        <w:t>1) of this section, an owner or operator may elect to may elect to implement the following alternative data accuracy assessment procedures. For all required CO</w:t>
      </w:r>
      <w:r w:rsidRPr="00F4004E">
        <w:rPr>
          <w:szCs w:val="22"/>
          <w:vertAlign w:val="subscript"/>
        </w:rPr>
        <w:t xml:space="preserve">2 </w:t>
      </w:r>
      <w:r w:rsidRPr="00BB64FF">
        <w:rPr>
          <w:szCs w:val="22"/>
        </w:rPr>
        <w:t>and O</w:t>
      </w:r>
      <w:r w:rsidRPr="00F4004E">
        <w:rPr>
          <w:szCs w:val="22"/>
          <w:vertAlign w:val="subscript"/>
        </w:rPr>
        <w:t>2</w:t>
      </w:r>
      <w:r w:rsidRPr="00BB64FF">
        <w:rPr>
          <w:szCs w:val="22"/>
        </w:rPr>
        <w:t xml:space="preserve"> CEMS and for SO</w:t>
      </w:r>
      <w:r w:rsidRPr="00F4004E">
        <w:rPr>
          <w:szCs w:val="22"/>
          <w:vertAlign w:val="subscript"/>
        </w:rPr>
        <w:t>2</w:t>
      </w:r>
      <w:r w:rsidRPr="00BB64FF">
        <w:rPr>
          <w:szCs w:val="22"/>
        </w:rPr>
        <w:t xml:space="preserve"> and NOX CEMS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F4004E">
        <w:rPr>
          <w:szCs w:val="22"/>
          <w:vertAlign w:val="subscript"/>
        </w:rPr>
        <w:t>2</w:t>
      </w:r>
      <w:r w:rsidRPr="00BB64FF">
        <w:rPr>
          <w:szCs w:val="22"/>
        </w:rPr>
        <w:t xml:space="preserve"> and NOX span values less than or equal to 30 ppm;</w:t>
      </w:r>
    </w:p>
    <w:p w:rsidR="00BB64FF" w:rsidRPr="00BB64FF" w:rsidRDefault="00BB64FF" w:rsidP="00BB64FF">
      <w:pPr>
        <w:spacing w:after="40"/>
        <w:ind w:left="20"/>
        <w:rPr>
          <w:szCs w:val="22"/>
        </w:rPr>
      </w:pPr>
      <w:r w:rsidRPr="00BB64FF">
        <w:rPr>
          <w:szCs w:val="22"/>
        </w:rPr>
        <w:t>(4) As an alternative to meeting the requirements of paragraph (w</w:t>
      </w:r>
      <w:proofErr w:type="gramStart"/>
      <w:r w:rsidRPr="00BB64FF">
        <w:rPr>
          <w:szCs w:val="22"/>
        </w:rPr>
        <w:t>)(</w:t>
      </w:r>
      <w:proofErr w:type="gramEnd"/>
      <w:r w:rsidRPr="00BB64FF">
        <w:rPr>
          <w:szCs w:val="22"/>
        </w:rPr>
        <w:t>1) of this section, an owner or operator may elect to may elect to implement the following alternative data accuracy assessment procedures. For SO</w:t>
      </w:r>
      <w:r w:rsidRPr="00F4004E">
        <w:rPr>
          <w:szCs w:val="22"/>
          <w:vertAlign w:val="subscript"/>
        </w:rPr>
        <w:t>2</w:t>
      </w:r>
      <w:r w:rsidRPr="00BB64FF">
        <w:rPr>
          <w:szCs w:val="22"/>
        </w:rPr>
        <w:t>, CO</w:t>
      </w:r>
      <w:r w:rsidRPr="00F4004E">
        <w:rPr>
          <w:szCs w:val="22"/>
          <w:vertAlign w:val="subscript"/>
        </w:rPr>
        <w:t>2</w:t>
      </w:r>
      <w:r w:rsidRPr="00BB64FF">
        <w:rPr>
          <w:szCs w:val="22"/>
        </w:rPr>
        <w:t>, and O</w:t>
      </w:r>
      <w:r w:rsidRPr="00F4004E">
        <w:rPr>
          <w:szCs w:val="22"/>
          <w:vertAlign w:val="subscript"/>
        </w:rPr>
        <w:t>2</w:t>
      </w:r>
      <w:r w:rsidRPr="00BB64FF">
        <w:rPr>
          <w:szCs w:val="22"/>
        </w:rPr>
        <w:t xml:space="preserve"> CEMS and for NOX CEMS,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sidRPr="00F4004E">
        <w:rPr>
          <w:szCs w:val="22"/>
          <w:vertAlign w:val="subscript"/>
        </w:rPr>
        <w:t>2</w:t>
      </w:r>
      <w:r w:rsidRPr="00BB64FF">
        <w:rPr>
          <w:szCs w:val="22"/>
        </w:rPr>
        <w:t xml:space="preserve"> (regardless of the SO</w:t>
      </w:r>
      <w:r w:rsidRPr="00F4004E">
        <w:rPr>
          <w:szCs w:val="22"/>
          <w:vertAlign w:val="subscript"/>
        </w:rPr>
        <w:t>2</w:t>
      </w:r>
      <w:r w:rsidRPr="00BB64FF">
        <w:rPr>
          <w:szCs w:val="22"/>
        </w:rPr>
        <w:t xml:space="preserve"> emission level during the RATA), and for NOX when the average NOX emission rate measured by the reference method during the RATA is less than 0.100 lb/MMBtu;</w:t>
      </w:r>
    </w:p>
    <w:p w:rsidR="00BB64FF" w:rsidRPr="00BB64FF" w:rsidRDefault="00BB64FF" w:rsidP="00BB64FF">
      <w:pPr>
        <w:spacing w:after="40"/>
        <w:ind w:left="20"/>
        <w:rPr>
          <w:szCs w:val="22"/>
        </w:rPr>
      </w:pPr>
      <w:r w:rsidRPr="00BB64FF">
        <w:rPr>
          <w:szCs w:val="22"/>
        </w:rPr>
        <w:t>(5) If the owner or operator elects to implement the alternative data assessment procedures described in paragraphs (w</w:t>
      </w:r>
      <w:proofErr w:type="gramStart"/>
      <w:r w:rsidRPr="00BB64FF">
        <w:rPr>
          <w:szCs w:val="22"/>
        </w:rPr>
        <w:t>)(</w:t>
      </w:r>
      <w:proofErr w:type="gramEnd"/>
      <w:r w:rsidRPr="00BB64FF">
        <w:rPr>
          <w:szCs w:val="22"/>
        </w:rPr>
        <w:t>2) through (w)(4) of this section, each data assessment report shall include a summary of the results of all of the RATAs, linearity checks, CGAs, and calibration error or drift assessments required by paragraphs (w)(2) through (w)(4) of this section.</w:t>
      </w:r>
    </w:p>
    <w:p w:rsidR="00BB64FF" w:rsidRPr="00BB64FF" w:rsidRDefault="00BB64FF" w:rsidP="00BB64FF">
      <w:pPr>
        <w:spacing w:after="40"/>
        <w:ind w:left="20"/>
        <w:rPr>
          <w:szCs w:val="22"/>
        </w:rPr>
      </w:pPr>
      <w:r w:rsidRPr="00BB64FF">
        <w:rPr>
          <w:szCs w:val="22"/>
        </w:rPr>
        <w:t>[72 FR 32722, June 13, 2007, as amended at 74 FR 5081, Jan. 28, 2009; 76 FR 3523, Jan. 20, 2011; 77 FR 9456, Feb. 16, 2012; 77 FR 23402, Apr. 19, 2012; 78 FR 24083, Apr. 24, 2013]</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60.50Da   Compliance determination procedures and methods.</w:t>
      </w:r>
      <w:proofErr w:type="gramEnd"/>
    </w:p>
    <w:p w:rsidR="00BB64FF" w:rsidRPr="00BB64FF" w:rsidRDefault="00BB64FF" w:rsidP="00BB64FF">
      <w:pPr>
        <w:spacing w:after="40"/>
        <w:ind w:left="20"/>
        <w:rPr>
          <w:szCs w:val="22"/>
        </w:rPr>
      </w:pPr>
      <w:r w:rsidRPr="00BB64FF">
        <w:rPr>
          <w:szCs w:val="22"/>
        </w:rPr>
        <w:t>(a) In conducting the performance tests required in § 60.8, the owner or operator shall use as reference methods and procedures the methods in appendix A of this part or the methods and procedures as specified in this section, except as provided in § 60.8(b). Section 60.8(f) does not apply to this section for SO</w:t>
      </w:r>
      <w:r w:rsidRPr="00F4004E">
        <w:rPr>
          <w:szCs w:val="22"/>
          <w:vertAlign w:val="subscript"/>
        </w:rPr>
        <w:t>2</w:t>
      </w:r>
      <w:r w:rsidRPr="00BB64FF">
        <w:rPr>
          <w:szCs w:val="22"/>
        </w:rPr>
        <w:t xml:space="preserve"> and </w:t>
      </w:r>
      <w:proofErr w:type="gramStart"/>
      <w:r w:rsidRPr="00BB64FF">
        <w:rPr>
          <w:szCs w:val="22"/>
        </w:rPr>
        <w:t>NOX .</w:t>
      </w:r>
      <w:proofErr w:type="gramEnd"/>
      <w:r w:rsidRPr="00BB64FF">
        <w:rPr>
          <w:szCs w:val="22"/>
        </w:rPr>
        <w:t xml:space="preserve"> Acceptable alternative methods are given in paragraph (e) of this section.</w:t>
      </w:r>
    </w:p>
    <w:p w:rsidR="00BB64FF" w:rsidRPr="00BB64FF" w:rsidRDefault="00BB64FF" w:rsidP="00BB64FF">
      <w:pPr>
        <w:spacing w:after="40"/>
        <w:ind w:left="20"/>
        <w:rPr>
          <w:szCs w:val="22"/>
        </w:rPr>
      </w:pPr>
      <w:r w:rsidRPr="00BB64FF">
        <w:rPr>
          <w:szCs w:val="22"/>
        </w:rPr>
        <w:t>(b) In conducting the performance tests to determine compliance with the PM emissions limits in § 60.42Da, the owner or operator shall meet the requirements specified in paragraphs (b</w:t>
      </w:r>
      <w:proofErr w:type="gramStart"/>
      <w:r w:rsidRPr="00BB64FF">
        <w:rPr>
          <w:szCs w:val="22"/>
        </w:rPr>
        <w:t>)(</w:t>
      </w:r>
      <w:proofErr w:type="gramEnd"/>
      <w:r w:rsidRPr="00BB64FF">
        <w:rPr>
          <w:szCs w:val="22"/>
        </w:rPr>
        <w:t>1) through (3) of this section.</w:t>
      </w:r>
    </w:p>
    <w:p w:rsidR="00BB64FF" w:rsidRPr="00BB64FF" w:rsidRDefault="00BB64FF" w:rsidP="00BB64FF">
      <w:pPr>
        <w:spacing w:after="40"/>
        <w:ind w:left="20"/>
        <w:rPr>
          <w:szCs w:val="22"/>
        </w:rPr>
      </w:pPr>
      <w:r w:rsidRPr="00BB64FF">
        <w:rPr>
          <w:szCs w:val="22"/>
        </w:rPr>
        <w:lastRenderedPageBreak/>
        <w:t>(1) The owner or operator shall measure filterable PM to determine compliance with the applicable PM emissions limit in § 60.42Da as specified in paragraphs (b</w:t>
      </w:r>
      <w:proofErr w:type="gramStart"/>
      <w:r w:rsidRPr="00BB64FF">
        <w:rPr>
          <w:szCs w:val="22"/>
        </w:rPr>
        <w:t>)(</w:t>
      </w:r>
      <w:proofErr w:type="gramEnd"/>
      <w:r w:rsidRPr="00BB64FF">
        <w:rPr>
          <w:szCs w:val="22"/>
        </w:rPr>
        <w:t>1)(</w:t>
      </w:r>
      <w:proofErr w:type="spellStart"/>
      <w:r w:rsidRPr="00BB64FF">
        <w:rPr>
          <w:szCs w:val="22"/>
        </w:rPr>
        <w:t>i</w:t>
      </w:r>
      <w:proofErr w:type="spellEnd"/>
      <w:r w:rsidRPr="00BB64FF">
        <w:rPr>
          <w:szCs w:val="22"/>
        </w:rPr>
        <w:t>) through (ii)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The dry basis F factor (O</w:t>
      </w:r>
      <w:r w:rsidRPr="00F4004E">
        <w:rPr>
          <w:szCs w:val="22"/>
          <w:vertAlign w:val="subscript"/>
        </w:rPr>
        <w:t>2</w:t>
      </w:r>
      <w:r w:rsidRPr="00BB64FF">
        <w:rPr>
          <w:szCs w:val="22"/>
        </w:rPr>
        <w:t>) procedures in Method 19 of appendix A of this part shall be used to compute the emission rate of PM.</w:t>
      </w:r>
    </w:p>
    <w:p w:rsidR="00BB64FF" w:rsidRPr="00BB64FF" w:rsidRDefault="00BB64FF" w:rsidP="00BB64FF">
      <w:pPr>
        <w:spacing w:after="40"/>
        <w:ind w:left="20"/>
        <w:rPr>
          <w:szCs w:val="22"/>
        </w:rPr>
      </w:pPr>
      <w:r w:rsidRPr="00BB64FF">
        <w:rPr>
          <w:szCs w:val="22"/>
        </w:rPr>
        <w:t>(ii) For the PM concentration, Method 5 of appendix A of this part shall be used for an affected facility that does not use a wet FGD. For an affected facility that uses a wet FGD, Method 5B of appendix A of this part shall be used downstream of the wet FGD.</w:t>
      </w:r>
    </w:p>
    <w:p w:rsidR="00BB64FF" w:rsidRPr="00BB64FF" w:rsidRDefault="00BB64FF" w:rsidP="00BB64FF">
      <w:pPr>
        <w:spacing w:after="40"/>
        <w:ind w:left="20"/>
        <w:rPr>
          <w:szCs w:val="22"/>
        </w:rPr>
      </w:pPr>
      <w:r w:rsidRPr="00BB64FF">
        <w:rPr>
          <w:szCs w:val="22"/>
        </w:rPr>
        <w:t xml:space="preserve">(A) The sampling time and sample volume for each run shall be at least 120 minutes and 1.70 </w:t>
      </w:r>
      <w:proofErr w:type="spellStart"/>
      <w:r w:rsidRPr="00BB64FF">
        <w:rPr>
          <w:szCs w:val="22"/>
        </w:rPr>
        <w:t>dscm</w:t>
      </w:r>
      <w:proofErr w:type="spellEnd"/>
      <w:r w:rsidRPr="00BB64FF">
        <w:rPr>
          <w:szCs w:val="22"/>
        </w:rPr>
        <w:t xml:space="preserve"> (60 </w:t>
      </w:r>
      <w:proofErr w:type="spellStart"/>
      <w:r w:rsidRPr="00BB64FF">
        <w:rPr>
          <w:szCs w:val="22"/>
        </w:rPr>
        <w:t>dscf</w:t>
      </w:r>
      <w:proofErr w:type="spellEnd"/>
      <w:r w:rsidRPr="00BB64FF">
        <w:rPr>
          <w:szCs w:val="22"/>
        </w:rPr>
        <w:t>). The probe and filter holder heating system in the sampling train may be set to provide an average gas temperature of no greater than 160 ± 14 °C (320 ± 25    °F).</w:t>
      </w:r>
    </w:p>
    <w:p w:rsidR="00BB64FF" w:rsidRPr="00BB64FF" w:rsidRDefault="00BB64FF" w:rsidP="00BB64FF">
      <w:pPr>
        <w:spacing w:after="40"/>
        <w:ind w:left="20"/>
        <w:rPr>
          <w:szCs w:val="22"/>
        </w:rPr>
      </w:pPr>
      <w:r w:rsidRPr="00BB64FF">
        <w:rPr>
          <w:szCs w:val="22"/>
        </w:rPr>
        <w:t>(B) For each particulate run, the emission rate correction factor, integrated or grab sampling and analysis procedures of Method 3B of appendix A of this part shall be used to determine the O</w:t>
      </w:r>
      <w:r w:rsidRPr="00F4004E">
        <w:rPr>
          <w:szCs w:val="22"/>
          <w:vertAlign w:val="subscript"/>
        </w:rPr>
        <w:t>2</w:t>
      </w:r>
      <w:r w:rsidRPr="00BB64FF">
        <w:rPr>
          <w:szCs w:val="22"/>
        </w:rPr>
        <w:t xml:space="preserve"> concentration. The O</w:t>
      </w:r>
      <w:r w:rsidRPr="00F4004E">
        <w:rPr>
          <w:szCs w:val="22"/>
          <w:vertAlign w:val="subscript"/>
        </w:rPr>
        <w:t xml:space="preserve">2 </w:t>
      </w:r>
      <w:r w:rsidRPr="00BB64FF">
        <w:rPr>
          <w:szCs w:val="22"/>
        </w:rPr>
        <w:t>sample shall be obtained simultaneously with, and at the same traverse points as, the particulate run. If the particulate run has more than 12 traverse points, the O</w:t>
      </w:r>
      <w:r w:rsidRPr="00F4004E">
        <w:rPr>
          <w:szCs w:val="22"/>
          <w:vertAlign w:val="subscript"/>
        </w:rPr>
        <w:t>2</w:t>
      </w:r>
      <w:r w:rsidRPr="00BB64FF">
        <w:rPr>
          <w:szCs w:val="22"/>
        </w:rPr>
        <w:t xml:space="preserve"> traverse points may be reduced to 12 provided that Method 1 of appendix A of this part is used to locate the 12 O</w:t>
      </w:r>
      <w:r w:rsidRPr="00F4004E">
        <w:rPr>
          <w:szCs w:val="22"/>
          <w:vertAlign w:val="subscript"/>
        </w:rPr>
        <w:t>2</w:t>
      </w:r>
      <w:r w:rsidRPr="00BB64FF">
        <w:rPr>
          <w:szCs w:val="22"/>
        </w:rPr>
        <w:t xml:space="preserve"> traverse points. If the grab sampling procedure is used, the O</w:t>
      </w:r>
      <w:r w:rsidRPr="00F4004E">
        <w:rPr>
          <w:szCs w:val="22"/>
          <w:vertAlign w:val="subscript"/>
        </w:rPr>
        <w:t>2</w:t>
      </w:r>
      <w:r w:rsidRPr="00BB64FF">
        <w:rPr>
          <w:szCs w:val="22"/>
        </w:rPr>
        <w:t xml:space="preserve"> concentration for the run shall be the arithmetic mean of the sample O</w:t>
      </w:r>
      <w:r w:rsidRPr="00F4004E">
        <w:rPr>
          <w:szCs w:val="22"/>
          <w:vertAlign w:val="subscript"/>
        </w:rPr>
        <w:t>2</w:t>
      </w:r>
      <w:r w:rsidRPr="00BB64FF">
        <w:rPr>
          <w:szCs w:val="22"/>
        </w:rPr>
        <w:t xml:space="preserve"> concentrations at all traverse points.</w:t>
      </w:r>
    </w:p>
    <w:p w:rsidR="00BB64FF" w:rsidRPr="00BB64FF" w:rsidRDefault="00BB64FF" w:rsidP="00BB64FF">
      <w:pPr>
        <w:spacing w:after="40"/>
        <w:ind w:left="20"/>
        <w:rPr>
          <w:szCs w:val="22"/>
        </w:rPr>
      </w:pPr>
      <w:r w:rsidRPr="00BB64FF">
        <w:rPr>
          <w:szCs w:val="22"/>
        </w:rPr>
        <w:t>(2) In conjunction with a performance test performed according to the requirements in paragraph (b)(1) of this section, the owner or operator of an affected facility for which construction, reconstruction, or modification commenced after May 3, 2011, shall measure condensable PM using Method 202 of appendix M of part 51.</w:t>
      </w:r>
    </w:p>
    <w:p w:rsidR="00BB64FF" w:rsidRPr="00BB64FF" w:rsidRDefault="00BB64FF" w:rsidP="00BB64FF">
      <w:pPr>
        <w:spacing w:after="40"/>
        <w:ind w:left="20"/>
        <w:rPr>
          <w:szCs w:val="22"/>
        </w:rPr>
      </w:pPr>
      <w:r w:rsidRPr="00BB64FF">
        <w:rPr>
          <w:szCs w:val="22"/>
        </w:rPr>
        <w:t>(3) Method 9 of appendix A of this part and the procedures in § 60.11 shall be used to determine opacity.</w:t>
      </w:r>
    </w:p>
    <w:p w:rsidR="00BB64FF" w:rsidRPr="00BB64FF" w:rsidRDefault="00BB64FF" w:rsidP="00BB64FF">
      <w:pPr>
        <w:spacing w:after="40"/>
        <w:ind w:left="20"/>
        <w:rPr>
          <w:szCs w:val="22"/>
        </w:rPr>
      </w:pPr>
      <w:r w:rsidRPr="00BB64FF">
        <w:rPr>
          <w:szCs w:val="22"/>
        </w:rPr>
        <w:t>(c) The owner or operator shall determine compliance with the SO</w:t>
      </w:r>
      <w:r w:rsidRPr="00F4004E">
        <w:rPr>
          <w:szCs w:val="22"/>
          <w:vertAlign w:val="subscript"/>
        </w:rPr>
        <w:t xml:space="preserve">2 </w:t>
      </w:r>
      <w:r w:rsidRPr="00BB64FF">
        <w:rPr>
          <w:szCs w:val="22"/>
        </w:rPr>
        <w:t>standards in § 60.43Da as follows:</w:t>
      </w:r>
    </w:p>
    <w:p w:rsidR="00BB64FF" w:rsidRPr="00BB64FF" w:rsidRDefault="00BB64FF" w:rsidP="00BB64FF">
      <w:pPr>
        <w:spacing w:after="40"/>
        <w:ind w:left="20"/>
        <w:rPr>
          <w:szCs w:val="22"/>
        </w:rPr>
      </w:pPr>
      <w:r w:rsidRPr="00BB64FF">
        <w:rPr>
          <w:szCs w:val="22"/>
        </w:rPr>
        <w:t>(1) The percent of potential SO</w:t>
      </w:r>
      <w:r w:rsidRPr="00F4004E">
        <w:rPr>
          <w:szCs w:val="22"/>
          <w:vertAlign w:val="subscript"/>
        </w:rPr>
        <w:t>2</w:t>
      </w:r>
      <w:r w:rsidRPr="00BB64FF">
        <w:rPr>
          <w:szCs w:val="22"/>
        </w:rPr>
        <w:t xml:space="preserve"> emissions (%Ps) to the atmosphere shall be computed using the following equation:</w:t>
      </w:r>
    </w:p>
    <w:p w:rsidR="00BB64FF" w:rsidRPr="00BB64FF" w:rsidRDefault="00BB64FF" w:rsidP="00BB64FF">
      <w:pPr>
        <w:spacing w:after="40"/>
        <w:ind w:left="20"/>
        <w:rPr>
          <w:szCs w:val="22"/>
        </w:rPr>
      </w:pPr>
      <w:r w:rsidRPr="00BB64FF">
        <w:rPr>
          <w:szCs w:val="22"/>
        </w:rPr>
        <w:t xml:space="preserve"> Where:</w:t>
      </w:r>
    </w:p>
    <w:p w:rsidR="00BB64FF" w:rsidRPr="00BB64FF" w:rsidRDefault="00BB64FF" w:rsidP="00BB64FF">
      <w:pPr>
        <w:spacing w:after="40"/>
        <w:ind w:left="20"/>
        <w:rPr>
          <w:szCs w:val="22"/>
        </w:rPr>
      </w:pPr>
      <w:r w:rsidRPr="00BB64FF">
        <w:rPr>
          <w:szCs w:val="22"/>
        </w:rPr>
        <w:t>%Ps = Percent of potential SO</w:t>
      </w:r>
      <w:r w:rsidRPr="00F4004E">
        <w:rPr>
          <w:szCs w:val="22"/>
          <w:vertAlign w:val="subscript"/>
        </w:rPr>
        <w:t>2</w:t>
      </w:r>
      <w:r w:rsidRPr="00BB64FF">
        <w:rPr>
          <w:szCs w:val="22"/>
        </w:rPr>
        <w:t xml:space="preserve"> emissions, percent;</w:t>
      </w:r>
    </w:p>
    <w:p w:rsidR="00BB64FF" w:rsidRPr="00BB64FF" w:rsidRDefault="00BB64FF" w:rsidP="00BB64FF">
      <w:pPr>
        <w:spacing w:after="40"/>
        <w:ind w:left="20"/>
        <w:rPr>
          <w:szCs w:val="22"/>
        </w:rPr>
      </w:pPr>
      <w:r w:rsidRPr="00BB64FF">
        <w:rPr>
          <w:szCs w:val="22"/>
        </w:rPr>
        <w:t>%</w:t>
      </w:r>
      <w:proofErr w:type="spellStart"/>
      <w:proofErr w:type="gramStart"/>
      <w:r w:rsidRPr="00BB64FF">
        <w:rPr>
          <w:szCs w:val="22"/>
        </w:rPr>
        <w:t>Rf</w:t>
      </w:r>
      <w:proofErr w:type="spellEnd"/>
      <w:proofErr w:type="gramEnd"/>
      <w:r w:rsidRPr="00BB64FF">
        <w:rPr>
          <w:szCs w:val="22"/>
        </w:rPr>
        <w:t xml:space="preserve"> = Percent reduction from fuel pretreatment, percent; and</w:t>
      </w:r>
    </w:p>
    <w:p w:rsidR="00BB64FF" w:rsidRPr="00BB64FF" w:rsidRDefault="00BB64FF" w:rsidP="00BB64FF">
      <w:pPr>
        <w:spacing w:after="40"/>
        <w:ind w:left="20"/>
        <w:rPr>
          <w:szCs w:val="22"/>
        </w:rPr>
      </w:pPr>
      <w:r w:rsidRPr="00BB64FF">
        <w:rPr>
          <w:szCs w:val="22"/>
        </w:rPr>
        <w:t>%</w:t>
      </w:r>
      <w:proofErr w:type="spellStart"/>
      <w:r w:rsidRPr="00BB64FF">
        <w:rPr>
          <w:szCs w:val="22"/>
        </w:rPr>
        <w:t>Rg</w:t>
      </w:r>
      <w:proofErr w:type="spellEnd"/>
      <w:r w:rsidRPr="00BB64FF">
        <w:rPr>
          <w:szCs w:val="22"/>
        </w:rPr>
        <w:t xml:space="preserve"> = Percent reduction by SO</w:t>
      </w:r>
      <w:r w:rsidRPr="00F4004E">
        <w:rPr>
          <w:szCs w:val="22"/>
          <w:vertAlign w:val="subscript"/>
        </w:rPr>
        <w:t>2</w:t>
      </w:r>
      <w:r w:rsidRPr="00BB64FF">
        <w:rPr>
          <w:szCs w:val="22"/>
        </w:rPr>
        <w:t xml:space="preserve"> control system, percent.</w:t>
      </w:r>
    </w:p>
    <w:p w:rsidR="00BB64FF" w:rsidRPr="00BB64FF" w:rsidRDefault="00BB64FF" w:rsidP="00BB64FF">
      <w:pPr>
        <w:spacing w:after="40"/>
        <w:ind w:left="20"/>
        <w:rPr>
          <w:szCs w:val="22"/>
        </w:rPr>
      </w:pPr>
      <w:r w:rsidRPr="00BB64FF">
        <w:rPr>
          <w:szCs w:val="22"/>
        </w:rPr>
        <w:t>(2) The procedures in Method 19 of appendix A of this part may be used to determine percent reduction (%</w:t>
      </w:r>
      <w:proofErr w:type="spellStart"/>
      <w:proofErr w:type="gramStart"/>
      <w:r w:rsidRPr="00BB64FF">
        <w:rPr>
          <w:szCs w:val="22"/>
        </w:rPr>
        <w:t>Rf</w:t>
      </w:r>
      <w:proofErr w:type="spellEnd"/>
      <w:r w:rsidRPr="00BB64FF">
        <w:rPr>
          <w:szCs w:val="22"/>
        </w:rPr>
        <w:t xml:space="preserve"> )</w:t>
      </w:r>
      <w:proofErr w:type="gramEnd"/>
      <w:r w:rsidRPr="00BB64FF">
        <w:rPr>
          <w:szCs w:val="22"/>
        </w:rPr>
        <w:t xml:space="preserve"> of sulfur by such processes as fuel pretreatment (physical coal cleaning, hydrodesulfurization of fuel oil, etc.), coal </w:t>
      </w:r>
      <w:proofErr w:type="spellStart"/>
      <w:r w:rsidRPr="00BB64FF">
        <w:rPr>
          <w:szCs w:val="22"/>
        </w:rPr>
        <w:t>pulverizers</w:t>
      </w:r>
      <w:proofErr w:type="spellEnd"/>
      <w:r w:rsidRPr="00BB64FF">
        <w:rPr>
          <w:szCs w:val="22"/>
        </w:rPr>
        <w:t>, and bottom and fly ash interactions. This determination is optional.</w:t>
      </w:r>
    </w:p>
    <w:p w:rsidR="00BB64FF" w:rsidRPr="00BB64FF" w:rsidRDefault="00BB64FF" w:rsidP="00BB64FF">
      <w:pPr>
        <w:spacing w:after="40"/>
        <w:ind w:left="20"/>
        <w:rPr>
          <w:szCs w:val="22"/>
        </w:rPr>
      </w:pPr>
      <w:r w:rsidRPr="00BB64FF">
        <w:rPr>
          <w:szCs w:val="22"/>
        </w:rPr>
        <w:t>(3) The procedures in Method 19 of appendix A of this part shall be used to determine the percent SO</w:t>
      </w:r>
      <w:r w:rsidRPr="00F4004E">
        <w:rPr>
          <w:szCs w:val="22"/>
          <w:vertAlign w:val="subscript"/>
        </w:rPr>
        <w:t>2</w:t>
      </w:r>
      <w:r w:rsidRPr="00BB64FF">
        <w:rPr>
          <w:szCs w:val="22"/>
        </w:rPr>
        <w:t xml:space="preserve"> reduction (%</w:t>
      </w:r>
      <w:proofErr w:type="spellStart"/>
      <w:proofErr w:type="gramStart"/>
      <w:r w:rsidRPr="00BB64FF">
        <w:rPr>
          <w:szCs w:val="22"/>
        </w:rPr>
        <w:t>Rg</w:t>
      </w:r>
      <w:proofErr w:type="spellEnd"/>
      <w:r w:rsidRPr="00BB64FF">
        <w:rPr>
          <w:szCs w:val="22"/>
        </w:rPr>
        <w:t xml:space="preserve"> )</w:t>
      </w:r>
      <w:proofErr w:type="gramEnd"/>
      <w:r w:rsidRPr="00BB64FF">
        <w:rPr>
          <w:szCs w:val="22"/>
        </w:rPr>
        <w:t xml:space="preserve"> of any SO</w:t>
      </w:r>
      <w:r w:rsidRPr="00F4004E">
        <w:rPr>
          <w:szCs w:val="22"/>
          <w:vertAlign w:val="subscript"/>
        </w:rPr>
        <w:t>2</w:t>
      </w:r>
      <w:r w:rsidRPr="00BB64FF">
        <w:rPr>
          <w:szCs w:val="22"/>
        </w:rPr>
        <w:t xml:space="preserve"> control system. Alternatively, a combination of an “as fired” fuel monitor and emission rates measured after the control system, following the procedures in Method 19 of appendix A of this part, may be used if the percent reduction is calculated using the average emission rate from the SO</w:t>
      </w:r>
      <w:r w:rsidRPr="00F4004E">
        <w:rPr>
          <w:szCs w:val="22"/>
          <w:vertAlign w:val="subscript"/>
        </w:rPr>
        <w:t>2</w:t>
      </w:r>
      <w:r w:rsidRPr="00BB64FF">
        <w:rPr>
          <w:szCs w:val="22"/>
        </w:rPr>
        <w:t xml:space="preserve"> control device and the average SO</w:t>
      </w:r>
      <w:r w:rsidRPr="00F4004E">
        <w:rPr>
          <w:szCs w:val="22"/>
          <w:vertAlign w:val="subscript"/>
        </w:rPr>
        <w:t>2</w:t>
      </w:r>
      <w:r w:rsidRPr="00BB64FF">
        <w:rPr>
          <w:szCs w:val="22"/>
        </w:rPr>
        <w:t xml:space="preserve"> input rate from the “as fired” fuel analysis for 30 successive boiler operating days.</w:t>
      </w:r>
    </w:p>
    <w:p w:rsidR="00BB64FF" w:rsidRPr="00BB64FF" w:rsidRDefault="00BB64FF" w:rsidP="00BB64FF">
      <w:pPr>
        <w:spacing w:after="40"/>
        <w:ind w:left="20"/>
        <w:rPr>
          <w:szCs w:val="22"/>
        </w:rPr>
      </w:pPr>
      <w:r w:rsidRPr="00BB64FF">
        <w:rPr>
          <w:szCs w:val="22"/>
        </w:rPr>
        <w:t>(4) The appropriate procedures in Method 19 of appendix A of this part shall be used to determine the emission rate.</w:t>
      </w:r>
    </w:p>
    <w:p w:rsidR="00BB64FF" w:rsidRPr="00BB64FF" w:rsidRDefault="00BB64FF" w:rsidP="00BB64FF">
      <w:pPr>
        <w:spacing w:after="40"/>
        <w:ind w:left="20"/>
        <w:rPr>
          <w:szCs w:val="22"/>
        </w:rPr>
      </w:pPr>
      <w:r w:rsidRPr="00BB64FF">
        <w:rPr>
          <w:szCs w:val="22"/>
        </w:rPr>
        <w:t xml:space="preserve">(5) The CEMS in § </w:t>
      </w:r>
      <w:proofErr w:type="gramStart"/>
      <w:r w:rsidRPr="00BB64FF">
        <w:rPr>
          <w:szCs w:val="22"/>
        </w:rPr>
        <w:t>60.49Da(</w:t>
      </w:r>
      <w:proofErr w:type="gramEnd"/>
      <w:r w:rsidRPr="00BB64FF">
        <w:rPr>
          <w:szCs w:val="22"/>
        </w:rPr>
        <w:t>b) and (d) shall be used to determine the concentrations of SO</w:t>
      </w:r>
      <w:r w:rsidRPr="00F4004E">
        <w:rPr>
          <w:szCs w:val="22"/>
          <w:vertAlign w:val="subscript"/>
        </w:rPr>
        <w:t>2</w:t>
      </w:r>
      <w:r w:rsidRPr="00BB64FF">
        <w:rPr>
          <w:szCs w:val="22"/>
        </w:rPr>
        <w:t xml:space="preserve"> and CO</w:t>
      </w:r>
      <w:r w:rsidRPr="00F4004E">
        <w:rPr>
          <w:szCs w:val="22"/>
          <w:vertAlign w:val="subscript"/>
        </w:rPr>
        <w:t>2</w:t>
      </w:r>
      <w:r w:rsidRPr="00BB64FF">
        <w:rPr>
          <w:szCs w:val="22"/>
        </w:rPr>
        <w:t xml:space="preserve"> or O</w:t>
      </w:r>
      <w:r w:rsidRPr="00F4004E">
        <w:rPr>
          <w:szCs w:val="22"/>
          <w:vertAlign w:val="subscript"/>
        </w:rPr>
        <w:t>2</w:t>
      </w:r>
      <w:r w:rsidRPr="00BB64FF">
        <w:rPr>
          <w:szCs w:val="22"/>
        </w:rPr>
        <w:t>.</w:t>
      </w:r>
    </w:p>
    <w:p w:rsidR="00BB64FF" w:rsidRPr="00BB64FF" w:rsidRDefault="00BB64FF" w:rsidP="00BB64FF">
      <w:pPr>
        <w:spacing w:after="40"/>
        <w:ind w:left="20"/>
        <w:rPr>
          <w:szCs w:val="22"/>
        </w:rPr>
      </w:pPr>
      <w:r w:rsidRPr="00BB64FF">
        <w:rPr>
          <w:szCs w:val="22"/>
        </w:rPr>
        <w:t>(d) The owner or operator shall determine compliance with the NOX standard in § 60.44Da as follows:</w:t>
      </w:r>
    </w:p>
    <w:p w:rsidR="00BB64FF" w:rsidRPr="00BB64FF" w:rsidRDefault="00BB64FF" w:rsidP="00BB64FF">
      <w:pPr>
        <w:spacing w:after="40"/>
        <w:ind w:left="20"/>
        <w:rPr>
          <w:szCs w:val="22"/>
        </w:rPr>
      </w:pPr>
      <w:r w:rsidRPr="00BB64FF">
        <w:rPr>
          <w:szCs w:val="22"/>
        </w:rPr>
        <w:t xml:space="preserve">(1) The appropriate procedures in Method 19 of appendix A of this part shall be used to determine the emission rate of </w:t>
      </w:r>
      <w:proofErr w:type="gramStart"/>
      <w:r w:rsidRPr="00BB64FF">
        <w:rPr>
          <w:szCs w:val="22"/>
        </w:rPr>
        <w:t>NOX .</w:t>
      </w:r>
      <w:proofErr w:type="gramEnd"/>
    </w:p>
    <w:p w:rsidR="00BB64FF" w:rsidRPr="00BB64FF" w:rsidRDefault="00BB64FF" w:rsidP="00BB64FF">
      <w:pPr>
        <w:spacing w:after="40"/>
        <w:ind w:left="20"/>
        <w:rPr>
          <w:szCs w:val="22"/>
        </w:rPr>
      </w:pPr>
      <w:r w:rsidRPr="00BB64FF">
        <w:rPr>
          <w:szCs w:val="22"/>
        </w:rPr>
        <w:t>(2) The continuous monitoring system in § 60.49Da(c) and (d) shall be used to determine the concentrations of NOX and CO</w:t>
      </w:r>
      <w:r w:rsidRPr="00F4004E">
        <w:rPr>
          <w:szCs w:val="22"/>
          <w:vertAlign w:val="subscript"/>
        </w:rPr>
        <w:t xml:space="preserve">2 </w:t>
      </w:r>
      <w:r w:rsidRPr="00BB64FF">
        <w:rPr>
          <w:szCs w:val="22"/>
        </w:rPr>
        <w:t>or O</w:t>
      </w:r>
      <w:r w:rsidRPr="00F4004E">
        <w:rPr>
          <w:szCs w:val="22"/>
          <w:vertAlign w:val="subscript"/>
        </w:rPr>
        <w:t>2</w:t>
      </w:r>
      <w:r w:rsidRPr="00BB64FF">
        <w:rPr>
          <w:szCs w:val="22"/>
        </w:rPr>
        <w:t>.</w:t>
      </w:r>
    </w:p>
    <w:p w:rsidR="00BB64FF" w:rsidRPr="00BB64FF" w:rsidRDefault="00BB64FF" w:rsidP="00BB64FF">
      <w:pPr>
        <w:spacing w:after="40"/>
        <w:ind w:left="20"/>
        <w:rPr>
          <w:szCs w:val="22"/>
        </w:rPr>
      </w:pPr>
      <w:r w:rsidRPr="00BB64FF">
        <w:rPr>
          <w:szCs w:val="22"/>
        </w:rPr>
        <w:lastRenderedPageBreak/>
        <w:t>(e) The owner or operator may use the following as alternatives to the reference methods and procedures specified in this section:</w:t>
      </w:r>
    </w:p>
    <w:p w:rsidR="00BB64FF" w:rsidRPr="00BB64FF" w:rsidRDefault="00BB64FF" w:rsidP="00BB64FF">
      <w:pPr>
        <w:spacing w:after="40"/>
        <w:ind w:left="20"/>
        <w:rPr>
          <w:szCs w:val="22"/>
        </w:rPr>
      </w:pPr>
      <w:r w:rsidRPr="00BB64FF">
        <w:rPr>
          <w:szCs w:val="22"/>
        </w:rPr>
        <w:t>(1) For Method 5 or 5B of appendix A-3 of this part, Method 17 of appendix A-6 of this part may be used at facilities with or without wet FGD systems if the stack temperature at the sampling location does not exceed an average temperature of 160 °C (320 °F). The procedures of sections 8.1 and 11.1 of Method 5B of appendix A-3 of this part may be used in Method 17 of appendix A-6 of this part only if it is used after wet FGD systems. Method 17 of appendix A-6 of this part shall not be used after wet FGD systems if the effluent is saturated or laden with water droplets.</w:t>
      </w:r>
    </w:p>
    <w:p w:rsidR="00BB64FF" w:rsidRPr="00BB64FF" w:rsidRDefault="00BB64FF" w:rsidP="00BB64FF">
      <w:pPr>
        <w:spacing w:after="40"/>
        <w:ind w:left="20"/>
        <w:rPr>
          <w:szCs w:val="22"/>
        </w:rPr>
      </w:pPr>
      <w:r w:rsidRPr="00BB64FF">
        <w:rPr>
          <w:szCs w:val="22"/>
        </w:rPr>
        <w:t xml:space="preserve">(2) The </w:t>
      </w:r>
      <w:proofErr w:type="spellStart"/>
      <w:r w:rsidRPr="00BB64FF">
        <w:rPr>
          <w:szCs w:val="22"/>
        </w:rPr>
        <w:t>Fc</w:t>
      </w:r>
      <w:proofErr w:type="spellEnd"/>
      <w:r w:rsidRPr="00BB64FF">
        <w:rPr>
          <w:szCs w:val="22"/>
        </w:rPr>
        <w:t xml:space="preserve"> factor (CO</w:t>
      </w:r>
      <w:r w:rsidRPr="00F4004E">
        <w:rPr>
          <w:szCs w:val="22"/>
          <w:vertAlign w:val="subscript"/>
        </w:rPr>
        <w:t>2</w:t>
      </w:r>
      <w:r w:rsidRPr="00BB64FF">
        <w:rPr>
          <w:szCs w:val="22"/>
        </w:rPr>
        <w:t>) procedures in Method 19 of appendix A of this part may be used to compute the emission rate of PM under the stipulations of § 60.46(d)(1). The CO</w:t>
      </w:r>
      <w:r w:rsidRPr="00F4004E">
        <w:rPr>
          <w:szCs w:val="22"/>
          <w:vertAlign w:val="subscript"/>
        </w:rPr>
        <w:t>2</w:t>
      </w:r>
      <w:r w:rsidRPr="00BB64FF">
        <w:rPr>
          <w:szCs w:val="22"/>
        </w:rPr>
        <w:t xml:space="preserve"> shall be determined in the same manner as the O</w:t>
      </w:r>
      <w:r w:rsidRPr="00F4004E">
        <w:rPr>
          <w:szCs w:val="22"/>
          <w:vertAlign w:val="subscript"/>
        </w:rPr>
        <w:t>2</w:t>
      </w:r>
      <w:r w:rsidRPr="00BB64FF">
        <w:rPr>
          <w:szCs w:val="22"/>
        </w:rPr>
        <w:t xml:space="preserve"> concentration.</w:t>
      </w:r>
    </w:p>
    <w:p w:rsidR="00BB64FF" w:rsidRPr="00BB64FF" w:rsidRDefault="00BB64FF" w:rsidP="00BB64FF">
      <w:pPr>
        <w:spacing w:after="40"/>
        <w:ind w:left="20"/>
        <w:rPr>
          <w:szCs w:val="22"/>
        </w:rPr>
      </w:pPr>
      <w:r w:rsidRPr="00BB64FF">
        <w:rPr>
          <w:szCs w:val="22"/>
        </w:rPr>
        <w:t>(f) The owner or operator of an electric utility combined cycle gas turbine that does not meet the definition of an IGCC must conduct performance tests for PM, SO</w:t>
      </w:r>
      <w:r w:rsidRPr="00F4004E">
        <w:rPr>
          <w:szCs w:val="22"/>
          <w:vertAlign w:val="subscript"/>
        </w:rPr>
        <w:t>2</w:t>
      </w:r>
      <w:r w:rsidRPr="00BB64FF">
        <w:rPr>
          <w:szCs w:val="22"/>
        </w:rPr>
        <w:t xml:space="preserve"> , and NOX using the procedures of Method 19 of appendix A-7 of this part. The SO</w:t>
      </w:r>
      <w:r w:rsidRPr="00F4004E">
        <w:rPr>
          <w:szCs w:val="22"/>
          <w:vertAlign w:val="subscript"/>
        </w:rPr>
        <w:t>2</w:t>
      </w:r>
      <w:r w:rsidRPr="00BB64FF">
        <w:rPr>
          <w:szCs w:val="22"/>
        </w:rPr>
        <w:t xml:space="preserve"> and NOX emission rates calculations from the gas turbine used in Method 19 of appendix A-7 of this part are determined when the gas turbine is performance tested under subpart GG of this part. The potential uncontrolled PM emission rate from a gas turbine is defined as 17 </w:t>
      </w:r>
      <w:proofErr w:type="spellStart"/>
      <w:r w:rsidRPr="00BB64FF">
        <w:rPr>
          <w:szCs w:val="22"/>
        </w:rPr>
        <w:t>ng</w:t>
      </w:r>
      <w:proofErr w:type="spellEnd"/>
      <w:r w:rsidRPr="00BB64FF">
        <w:rPr>
          <w:szCs w:val="22"/>
        </w:rPr>
        <w:t>/J (0.04 lb/</w:t>
      </w:r>
      <w:proofErr w:type="spellStart"/>
      <w:r w:rsidRPr="00BB64FF">
        <w:rPr>
          <w:szCs w:val="22"/>
        </w:rPr>
        <w:t>MMBtu</w:t>
      </w:r>
      <w:proofErr w:type="spellEnd"/>
      <w:r w:rsidRPr="00BB64FF">
        <w:rPr>
          <w:szCs w:val="22"/>
        </w:rPr>
        <w:t>) heat input.</w:t>
      </w:r>
    </w:p>
    <w:p w:rsidR="00BB64FF" w:rsidRPr="00BB64FF" w:rsidRDefault="00BB64FF" w:rsidP="00BB64FF">
      <w:pPr>
        <w:spacing w:after="40"/>
        <w:ind w:left="20"/>
        <w:rPr>
          <w:szCs w:val="22"/>
        </w:rPr>
      </w:pPr>
      <w:r w:rsidRPr="00BB64FF">
        <w:rPr>
          <w:szCs w:val="22"/>
        </w:rPr>
        <w:t>[72 FR 32722, June 13, 2007, as amended at 74 FR 5083, Jan. 28, 2009; 77 FR 9458, Feb. 16, 2012; 78 FR 24084, Apr. 24, 2013]</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60.51Da   Reporting requirements.</w:t>
      </w:r>
      <w:proofErr w:type="gramEnd"/>
    </w:p>
    <w:p w:rsidR="00BB64FF" w:rsidRPr="00BB64FF" w:rsidRDefault="00BB64FF" w:rsidP="00BB64FF">
      <w:pPr>
        <w:spacing w:after="40"/>
        <w:ind w:left="20"/>
        <w:rPr>
          <w:szCs w:val="22"/>
        </w:rPr>
      </w:pPr>
      <w:r w:rsidRPr="00BB64FF">
        <w:rPr>
          <w:szCs w:val="22"/>
        </w:rPr>
        <w:t>(a) For SO</w:t>
      </w:r>
      <w:r w:rsidRPr="00F4004E">
        <w:rPr>
          <w:szCs w:val="22"/>
          <w:vertAlign w:val="subscript"/>
        </w:rPr>
        <w:t>2</w:t>
      </w:r>
      <w:r w:rsidRPr="00BB64FF">
        <w:rPr>
          <w:szCs w:val="22"/>
        </w:rPr>
        <w:t xml:space="preserve"> , NOX , PM, and NOX plus CO emissions, the performance test data from the initial and subsequent performance test and from the performance evaluation of the continuous monitors (including the </w:t>
      </w:r>
      <w:proofErr w:type="spellStart"/>
      <w:r w:rsidRPr="00BB64FF">
        <w:rPr>
          <w:szCs w:val="22"/>
        </w:rPr>
        <w:t>transmissometer</w:t>
      </w:r>
      <w:proofErr w:type="spellEnd"/>
      <w:r w:rsidRPr="00BB64FF">
        <w:rPr>
          <w:szCs w:val="22"/>
        </w:rPr>
        <w:t>) must be reported to the Administrator.</w:t>
      </w:r>
    </w:p>
    <w:p w:rsidR="00BB64FF" w:rsidRPr="00BB64FF" w:rsidRDefault="00BB64FF" w:rsidP="00BB64FF">
      <w:pPr>
        <w:spacing w:after="40"/>
        <w:ind w:left="20"/>
        <w:rPr>
          <w:szCs w:val="22"/>
        </w:rPr>
      </w:pPr>
      <w:r w:rsidRPr="00BB64FF">
        <w:rPr>
          <w:szCs w:val="22"/>
        </w:rPr>
        <w:t>(b) For SO</w:t>
      </w:r>
      <w:r w:rsidRPr="00F4004E">
        <w:rPr>
          <w:szCs w:val="22"/>
          <w:vertAlign w:val="subscript"/>
        </w:rPr>
        <w:t>2</w:t>
      </w:r>
      <w:r w:rsidRPr="00BB64FF">
        <w:rPr>
          <w:szCs w:val="22"/>
        </w:rPr>
        <w:t xml:space="preserve"> and NOX the following information is reported to the Administrator for each 24-hour period.</w:t>
      </w:r>
    </w:p>
    <w:p w:rsidR="00BB64FF" w:rsidRPr="00BB64FF" w:rsidRDefault="00BB64FF" w:rsidP="00BB64FF">
      <w:pPr>
        <w:spacing w:after="40"/>
        <w:ind w:left="20"/>
        <w:rPr>
          <w:szCs w:val="22"/>
        </w:rPr>
      </w:pPr>
      <w:r w:rsidRPr="00BB64FF">
        <w:rPr>
          <w:szCs w:val="22"/>
        </w:rPr>
        <w:t>(1) Calendar date.</w:t>
      </w:r>
    </w:p>
    <w:p w:rsidR="00BB64FF" w:rsidRPr="00BB64FF" w:rsidRDefault="00BB64FF" w:rsidP="00BB64FF">
      <w:pPr>
        <w:spacing w:after="40"/>
        <w:ind w:left="20"/>
        <w:rPr>
          <w:szCs w:val="22"/>
        </w:rPr>
      </w:pPr>
      <w:r w:rsidRPr="00BB64FF">
        <w:rPr>
          <w:szCs w:val="22"/>
        </w:rPr>
        <w:t>(2) The average SO</w:t>
      </w:r>
      <w:r w:rsidRPr="00F4004E">
        <w:rPr>
          <w:szCs w:val="22"/>
          <w:vertAlign w:val="subscript"/>
        </w:rPr>
        <w:t>2</w:t>
      </w:r>
      <w:r w:rsidRPr="00BB64FF">
        <w:rPr>
          <w:szCs w:val="22"/>
        </w:rPr>
        <w:t xml:space="preserve"> and NOX emission rates (</w:t>
      </w:r>
      <w:proofErr w:type="spellStart"/>
      <w:r w:rsidRPr="00BB64FF">
        <w:rPr>
          <w:szCs w:val="22"/>
        </w:rPr>
        <w:t>ng</w:t>
      </w:r>
      <w:proofErr w:type="spellEnd"/>
      <w:r w:rsidRPr="00BB64FF">
        <w:rPr>
          <w:szCs w:val="22"/>
        </w:rPr>
        <w:t>/J, lb/</w:t>
      </w:r>
      <w:proofErr w:type="spellStart"/>
      <w:r w:rsidRPr="00BB64FF">
        <w:rPr>
          <w:szCs w:val="22"/>
        </w:rPr>
        <w:t>MMBtu</w:t>
      </w:r>
      <w:proofErr w:type="spellEnd"/>
      <w:r w:rsidRPr="00BB64FF">
        <w:rPr>
          <w:szCs w:val="22"/>
        </w:rPr>
        <w:t>, or lb/</w:t>
      </w:r>
      <w:proofErr w:type="spellStart"/>
      <w:r w:rsidRPr="00BB64FF">
        <w:rPr>
          <w:szCs w:val="22"/>
        </w:rPr>
        <w:t>MWh</w:t>
      </w:r>
      <w:proofErr w:type="spellEnd"/>
      <w:r w:rsidRPr="00BB64FF">
        <w:rPr>
          <w:szCs w:val="22"/>
        </w:rPr>
        <w:t>) for each 30 successive boiler operating days, ending with the last 30-day period in the quarter; reasons for non-compliance with the emission standards; and, description of corrective actions taken.</w:t>
      </w:r>
    </w:p>
    <w:p w:rsidR="00BB64FF" w:rsidRPr="00BB64FF" w:rsidRDefault="00BB64FF" w:rsidP="00BB64FF">
      <w:pPr>
        <w:spacing w:after="40"/>
        <w:ind w:left="20"/>
        <w:rPr>
          <w:szCs w:val="22"/>
        </w:rPr>
      </w:pPr>
      <w:r w:rsidRPr="00BB64FF">
        <w:rPr>
          <w:szCs w:val="22"/>
        </w:rPr>
        <w:t>(3) For owners or operators of affected facilities complying with the percent reduction requirement, percent reduction of the potential combustion concentration of SO</w:t>
      </w:r>
      <w:r w:rsidRPr="00F4004E">
        <w:rPr>
          <w:szCs w:val="22"/>
          <w:vertAlign w:val="subscript"/>
        </w:rPr>
        <w:t>2</w:t>
      </w:r>
      <w:r w:rsidRPr="00BB64FF">
        <w:rPr>
          <w:szCs w:val="22"/>
        </w:rPr>
        <w:t xml:space="preserve"> for each 30 successive boiler operating days, ending with the last 30-day period in the quarter; reasons for non-compliance with the standard; and, description of corrective actions taken.</w:t>
      </w:r>
    </w:p>
    <w:p w:rsidR="00BB64FF" w:rsidRPr="00BB64FF" w:rsidRDefault="00BB64FF" w:rsidP="00BB64FF">
      <w:pPr>
        <w:spacing w:after="40"/>
        <w:ind w:left="20"/>
        <w:rPr>
          <w:szCs w:val="22"/>
        </w:rPr>
      </w:pPr>
      <w:r w:rsidRPr="00BB64FF">
        <w:rPr>
          <w:szCs w:val="22"/>
        </w:rPr>
        <w:t>(4) Identification of the boiler operating days for which pollutant or diluent data have not been obtained by an approved method for at least 75 percent of the hours of operation of the facility; justification for not obtaining sufficient data; and description of corrective actions taken.</w:t>
      </w:r>
    </w:p>
    <w:p w:rsidR="00BB64FF" w:rsidRPr="00BB64FF" w:rsidRDefault="00BB64FF" w:rsidP="00BB64FF">
      <w:pPr>
        <w:spacing w:after="40"/>
        <w:ind w:left="20"/>
        <w:rPr>
          <w:szCs w:val="22"/>
        </w:rPr>
      </w:pPr>
      <w:r w:rsidRPr="00BB64FF">
        <w:rPr>
          <w:szCs w:val="22"/>
        </w:rPr>
        <w:t>(5) Identification of the times when emissions data have been excluded from the calculation of average emission rates because of startup, shutdown, or malfunction.</w:t>
      </w:r>
    </w:p>
    <w:p w:rsidR="00BB64FF" w:rsidRPr="00BB64FF" w:rsidRDefault="00BB64FF" w:rsidP="00BB64FF">
      <w:pPr>
        <w:spacing w:after="40"/>
        <w:ind w:left="20"/>
        <w:rPr>
          <w:szCs w:val="22"/>
        </w:rPr>
      </w:pPr>
      <w:r w:rsidRPr="00BB64FF">
        <w:rPr>
          <w:szCs w:val="22"/>
        </w:rPr>
        <w:t>(6) Identification of “F” factor used for calculations, method of determination, and type of fuel combusted.</w:t>
      </w:r>
    </w:p>
    <w:p w:rsidR="00BB64FF" w:rsidRPr="00BB64FF" w:rsidRDefault="00BB64FF" w:rsidP="00BB64FF">
      <w:pPr>
        <w:spacing w:after="40"/>
        <w:ind w:left="20"/>
        <w:rPr>
          <w:szCs w:val="22"/>
        </w:rPr>
      </w:pPr>
      <w:r w:rsidRPr="00BB64FF">
        <w:rPr>
          <w:szCs w:val="22"/>
        </w:rPr>
        <w:t>(7) Identification of times when hourly averages have been obtained based on manual sampling methods.</w:t>
      </w:r>
    </w:p>
    <w:p w:rsidR="00BB64FF" w:rsidRPr="00BB64FF" w:rsidRDefault="00BB64FF" w:rsidP="00BB64FF">
      <w:pPr>
        <w:spacing w:after="40"/>
        <w:ind w:left="20"/>
        <w:rPr>
          <w:szCs w:val="22"/>
        </w:rPr>
      </w:pPr>
      <w:r w:rsidRPr="00BB64FF">
        <w:rPr>
          <w:szCs w:val="22"/>
        </w:rPr>
        <w:t>(8) Identification of the times when the pollutant concentration exceeded full span of the CEMS.</w:t>
      </w:r>
    </w:p>
    <w:p w:rsidR="00BB64FF" w:rsidRPr="00BB64FF" w:rsidRDefault="00BB64FF" w:rsidP="00BB64FF">
      <w:pPr>
        <w:spacing w:after="40"/>
        <w:ind w:left="20"/>
        <w:rPr>
          <w:szCs w:val="22"/>
        </w:rPr>
      </w:pPr>
      <w:r w:rsidRPr="00BB64FF">
        <w:rPr>
          <w:szCs w:val="22"/>
        </w:rPr>
        <w:t>(9) Description of any modifications to CEMS which could affect the ability of the CEMS to comply with Performance Specifications 2 or 3.</w:t>
      </w:r>
    </w:p>
    <w:p w:rsidR="00BB64FF" w:rsidRPr="00BB64FF" w:rsidRDefault="00BB64FF" w:rsidP="00BB64FF">
      <w:pPr>
        <w:spacing w:after="40"/>
        <w:ind w:left="20"/>
        <w:rPr>
          <w:szCs w:val="22"/>
        </w:rPr>
      </w:pPr>
      <w:r w:rsidRPr="00BB64FF">
        <w:rPr>
          <w:szCs w:val="22"/>
        </w:rPr>
        <w:t xml:space="preserve">(c) If the minimum quantity of emission data as required by § 60.49Da is not obtained for any 30 successive boiler operating days, the following information obtained under the requirements of § </w:t>
      </w:r>
      <w:proofErr w:type="gramStart"/>
      <w:r w:rsidRPr="00BB64FF">
        <w:rPr>
          <w:szCs w:val="22"/>
        </w:rPr>
        <w:t>60.48Da(</w:t>
      </w:r>
      <w:proofErr w:type="gramEnd"/>
      <w:r w:rsidRPr="00BB64FF">
        <w:rPr>
          <w:szCs w:val="22"/>
        </w:rPr>
        <w:t>h) is reported to the Administrator for that 30-day period:</w:t>
      </w:r>
    </w:p>
    <w:p w:rsidR="00BB64FF" w:rsidRPr="00BB64FF" w:rsidRDefault="00BB64FF" w:rsidP="00BB64FF">
      <w:pPr>
        <w:spacing w:after="40"/>
        <w:ind w:left="20"/>
        <w:rPr>
          <w:szCs w:val="22"/>
        </w:rPr>
      </w:pPr>
      <w:r w:rsidRPr="00BB64FF">
        <w:rPr>
          <w:szCs w:val="22"/>
        </w:rPr>
        <w:lastRenderedPageBreak/>
        <w:t>(1) The number of hourly averages available for outlet emission rates (no) and inlet emission rates (</w:t>
      </w:r>
      <w:proofErr w:type="spellStart"/>
      <w:proofErr w:type="gramStart"/>
      <w:r w:rsidRPr="00BB64FF">
        <w:rPr>
          <w:szCs w:val="22"/>
        </w:rPr>
        <w:t>ni</w:t>
      </w:r>
      <w:proofErr w:type="spellEnd"/>
      <w:r w:rsidRPr="00BB64FF">
        <w:rPr>
          <w:szCs w:val="22"/>
        </w:rPr>
        <w:t xml:space="preserve"> )</w:t>
      </w:r>
      <w:proofErr w:type="gramEnd"/>
      <w:r w:rsidRPr="00BB64FF">
        <w:rPr>
          <w:szCs w:val="22"/>
        </w:rPr>
        <w:t xml:space="preserve"> as applicable.</w:t>
      </w:r>
    </w:p>
    <w:p w:rsidR="00BB64FF" w:rsidRPr="00BB64FF" w:rsidRDefault="00BB64FF" w:rsidP="00BB64FF">
      <w:pPr>
        <w:spacing w:after="40"/>
        <w:ind w:left="20"/>
        <w:rPr>
          <w:szCs w:val="22"/>
        </w:rPr>
      </w:pPr>
      <w:r w:rsidRPr="00BB64FF">
        <w:rPr>
          <w:szCs w:val="22"/>
        </w:rPr>
        <w:t>(2) The standard deviation of hourly averages for outlet emission rates (</w:t>
      </w:r>
      <w:proofErr w:type="gramStart"/>
      <w:r w:rsidRPr="00BB64FF">
        <w:rPr>
          <w:szCs w:val="22"/>
        </w:rPr>
        <w:t>so )</w:t>
      </w:r>
      <w:proofErr w:type="gramEnd"/>
      <w:r w:rsidRPr="00BB64FF">
        <w:rPr>
          <w:szCs w:val="22"/>
        </w:rPr>
        <w:t xml:space="preserve"> and inlet emission rates (</w:t>
      </w:r>
      <w:proofErr w:type="spellStart"/>
      <w:r w:rsidRPr="00BB64FF">
        <w:rPr>
          <w:szCs w:val="22"/>
        </w:rPr>
        <w:t>si</w:t>
      </w:r>
      <w:proofErr w:type="spellEnd"/>
      <w:r w:rsidRPr="00BB64FF">
        <w:rPr>
          <w:szCs w:val="22"/>
        </w:rPr>
        <w:t xml:space="preserve"> ) as applicable.</w:t>
      </w:r>
    </w:p>
    <w:p w:rsidR="00BB64FF" w:rsidRPr="00BB64FF" w:rsidRDefault="00BB64FF" w:rsidP="00BB64FF">
      <w:pPr>
        <w:spacing w:after="40"/>
        <w:ind w:left="20"/>
        <w:rPr>
          <w:szCs w:val="22"/>
        </w:rPr>
      </w:pPr>
      <w:r w:rsidRPr="00BB64FF">
        <w:rPr>
          <w:szCs w:val="22"/>
        </w:rPr>
        <w:t>(3) The lower confidence limit for the mean outlet emission rate (</w:t>
      </w:r>
      <w:proofErr w:type="spellStart"/>
      <w:proofErr w:type="gramStart"/>
      <w:r w:rsidRPr="00BB64FF">
        <w:rPr>
          <w:szCs w:val="22"/>
        </w:rPr>
        <w:t>Eo</w:t>
      </w:r>
      <w:proofErr w:type="spellEnd"/>
      <w:proofErr w:type="gramEnd"/>
      <w:r w:rsidRPr="00BB64FF">
        <w:rPr>
          <w:szCs w:val="22"/>
        </w:rPr>
        <w:t xml:space="preserve"> *) and the upper confidence limit for the mean inlet emission rate (</w:t>
      </w:r>
      <w:proofErr w:type="spellStart"/>
      <w:r w:rsidRPr="00BB64FF">
        <w:rPr>
          <w:szCs w:val="22"/>
        </w:rPr>
        <w:t>Ei</w:t>
      </w:r>
      <w:proofErr w:type="spellEnd"/>
      <w:r w:rsidRPr="00BB64FF">
        <w:rPr>
          <w:szCs w:val="22"/>
        </w:rPr>
        <w:t xml:space="preserve"> *) as applicable.</w:t>
      </w:r>
    </w:p>
    <w:p w:rsidR="00BB64FF" w:rsidRPr="00BB64FF" w:rsidRDefault="00BB64FF" w:rsidP="00BB64FF">
      <w:pPr>
        <w:spacing w:after="40"/>
        <w:ind w:left="20"/>
        <w:rPr>
          <w:szCs w:val="22"/>
        </w:rPr>
      </w:pPr>
      <w:r w:rsidRPr="00BB64FF">
        <w:rPr>
          <w:szCs w:val="22"/>
        </w:rPr>
        <w:t>(4) The applicable potential combustion concentration.</w:t>
      </w:r>
    </w:p>
    <w:p w:rsidR="00BB64FF" w:rsidRPr="00BB64FF" w:rsidRDefault="00BB64FF" w:rsidP="00BB64FF">
      <w:pPr>
        <w:spacing w:after="40"/>
        <w:ind w:left="20"/>
        <w:rPr>
          <w:szCs w:val="22"/>
        </w:rPr>
      </w:pPr>
      <w:r w:rsidRPr="00BB64FF">
        <w:rPr>
          <w:szCs w:val="22"/>
        </w:rPr>
        <w:t>(5) The ratio of the upper confidence limit for the mean outlet emission rate (</w:t>
      </w:r>
      <w:proofErr w:type="spellStart"/>
      <w:r w:rsidRPr="00BB64FF">
        <w:rPr>
          <w:szCs w:val="22"/>
        </w:rPr>
        <w:t>Eo</w:t>
      </w:r>
      <w:proofErr w:type="spellEnd"/>
      <w:r w:rsidRPr="00BB64FF">
        <w:rPr>
          <w:szCs w:val="22"/>
        </w:rPr>
        <w:t xml:space="preserve"> *) and the allowable emission rate (</w:t>
      </w:r>
      <w:proofErr w:type="spellStart"/>
      <w:proofErr w:type="gramStart"/>
      <w:r w:rsidRPr="00BB64FF">
        <w:rPr>
          <w:szCs w:val="22"/>
        </w:rPr>
        <w:t>Estd</w:t>
      </w:r>
      <w:proofErr w:type="spellEnd"/>
      <w:r w:rsidRPr="00BB64FF">
        <w:rPr>
          <w:szCs w:val="22"/>
        </w:rPr>
        <w:t xml:space="preserve"> )</w:t>
      </w:r>
      <w:proofErr w:type="gramEnd"/>
      <w:r w:rsidRPr="00BB64FF">
        <w:rPr>
          <w:szCs w:val="22"/>
        </w:rPr>
        <w:t xml:space="preserve"> as applicable.</w:t>
      </w:r>
    </w:p>
    <w:p w:rsidR="00BB64FF" w:rsidRPr="00BB64FF" w:rsidRDefault="00BB64FF" w:rsidP="00BB64FF">
      <w:pPr>
        <w:spacing w:after="40"/>
        <w:ind w:left="20"/>
        <w:rPr>
          <w:szCs w:val="22"/>
        </w:rPr>
      </w:pPr>
      <w:r w:rsidRPr="00BB64FF">
        <w:rPr>
          <w:szCs w:val="22"/>
        </w:rPr>
        <w:t>(d) In addition to the applicable requirements in § 60.7, the owner or operator of an affected facility subject to the opacity limits in § 60.43c(c) and conducting performance tests using Method 9 of appendix A-4 of this part shall submit excess emission reports for any excess emissions from the affected facility that occur during the reporting period and maintain records according to the requirements specified in paragraph (d</w:t>
      </w:r>
      <w:proofErr w:type="gramStart"/>
      <w:r w:rsidRPr="00BB64FF">
        <w:rPr>
          <w:szCs w:val="22"/>
        </w:rPr>
        <w:t>)(</w:t>
      </w:r>
      <w:proofErr w:type="gramEnd"/>
      <w:r w:rsidRPr="00BB64FF">
        <w:rPr>
          <w:szCs w:val="22"/>
        </w:rPr>
        <w:t>1) of this section.</w:t>
      </w:r>
    </w:p>
    <w:p w:rsidR="00BB64FF" w:rsidRPr="00BB64FF" w:rsidRDefault="00BB64FF" w:rsidP="00BB64FF">
      <w:pPr>
        <w:spacing w:after="40"/>
        <w:ind w:left="20"/>
        <w:rPr>
          <w:szCs w:val="22"/>
        </w:rPr>
      </w:pPr>
      <w:r w:rsidRPr="00BB64FF">
        <w:rPr>
          <w:szCs w:val="22"/>
        </w:rPr>
        <w:t>(1) For each performance test conducted using Method 9 of appendix A-4 of this part, the owner or operator shall keep the records including the information specified in paragraphs (d)(1)(</w:t>
      </w:r>
      <w:proofErr w:type="spellStart"/>
      <w:r w:rsidRPr="00BB64FF">
        <w:rPr>
          <w:szCs w:val="22"/>
        </w:rPr>
        <w:t>i</w:t>
      </w:r>
      <w:proofErr w:type="spellEnd"/>
      <w:r w:rsidRPr="00BB64FF">
        <w:rPr>
          <w:szCs w:val="22"/>
        </w:rPr>
        <w:t>) through (iii)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Dates and time intervals of all opacity observation periods;</w:t>
      </w:r>
    </w:p>
    <w:p w:rsidR="00BB64FF" w:rsidRPr="00BB64FF" w:rsidRDefault="00BB64FF" w:rsidP="00BB64FF">
      <w:pPr>
        <w:spacing w:after="40"/>
        <w:ind w:left="20"/>
        <w:rPr>
          <w:szCs w:val="22"/>
        </w:rPr>
      </w:pPr>
      <w:r w:rsidRPr="00BB64FF">
        <w:rPr>
          <w:szCs w:val="22"/>
        </w:rPr>
        <w:t>(ii) Name, affiliation, and copy of current visible emission reading certification for each visible emission observer participating in the performance test; and</w:t>
      </w:r>
    </w:p>
    <w:p w:rsidR="00BB64FF" w:rsidRPr="00BB64FF" w:rsidRDefault="00BB64FF" w:rsidP="00BB64FF">
      <w:pPr>
        <w:spacing w:after="40"/>
        <w:ind w:left="20"/>
        <w:rPr>
          <w:szCs w:val="22"/>
        </w:rPr>
      </w:pPr>
      <w:r w:rsidRPr="00BB64FF">
        <w:rPr>
          <w:szCs w:val="22"/>
        </w:rPr>
        <w:t>(iii) Copies of all visible emission observer opacity field data sheets.</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(2) [Reserved]</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(e) If fuel pretreatment credit toward the SO</w:t>
      </w:r>
      <w:r w:rsidRPr="00F4004E">
        <w:rPr>
          <w:szCs w:val="22"/>
          <w:vertAlign w:val="subscript"/>
        </w:rPr>
        <w:t>2</w:t>
      </w:r>
      <w:r w:rsidRPr="00BB64FF">
        <w:rPr>
          <w:szCs w:val="22"/>
        </w:rPr>
        <w:t xml:space="preserve"> emission standard under § 60.43Da is claimed, the owner or operator of the affected facility shall submit a signed statement:</w:t>
      </w:r>
    </w:p>
    <w:p w:rsidR="00BB64FF" w:rsidRPr="00BB64FF" w:rsidRDefault="00BB64FF" w:rsidP="00BB64FF">
      <w:pPr>
        <w:spacing w:after="40"/>
        <w:ind w:left="20"/>
        <w:rPr>
          <w:szCs w:val="22"/>
        </w:rPr>
      </w:pPr>
      <w:r w:rsidRPr="00BB64FF">
        <w:rPr>
          <w:szCs w:val="22"/>
        </w:rPr>
        <w:t>(1) Indicating what percentage cleaning credit was taken for the calendar quarter, and whether the credit was determined in accordance with the provisions of § 60.50Da and Method 19 of appendix A of this part; and</w:t>
      </w:r>
    </w:p>
    <w:p w:rsidR="00BB64FF" w:rsidRPr="00BB64FF" w:rsidRDefault="00BB64FF" w:rsidP="00BB64FF">
      <w:pPr>
        <w:spacing w:after="40"/>
        <w:ind w:left="20"/>
        <w:rPr>
          <w:szCs w:val="22"/>
        </w:rPr>
      </w:pPr>
      <w:r w:rsidRPr="00BB64FF">
        <w:rPr>
          <w:szCs w:val="22"/>
        </w:rPr>
        <w:t>(2) Listing the quantity, heat content, and date each pretreated fuel shipment was received during the previous quarter; the name and location of the fuel pretreatment facility; and the total quantity and total heat content of all fuels received at the affected facility during the previous quarter.</w:t>
      </w:r>
    </w:p>
    <w:p w:rsidR="00BB64FF" w:rsidRPr="00BB64FF" w:rsidRDefault="00BB64FF" w:rsidP="00BB64FF">
      <w:pPr>
        <w:spacing w:after="40"/>
        <w:ind w:left="20"/>
        <w:rPr>
          <w:szCs w:val="22"/>
        </w:rPr>
      </w:pPr>
      <w:r w:rsidRPr="00BB64FF">
        <w:rPr>
          <w:szCs w:val="22"/>
        </w:rPr>
        <w:t>(f) For any periods for which opacity, SO</w:t>
      </w:r>
      <w:r w:rsidRPr="00F4004E">
        <w:rPr>
          <w:szCs w:val="22"/>
          <w:vertAlign w:val="subscript"/>
        </w:rPr>
        <w:t>2</w:t>
      </w:r>
      <w:r w:rsidRPr="00BB64FF">
        <w:rPr>
          <w:szCs w:val="22"/>
        </w:rPr>
        <w:t xml:space="preserve"> or NOX emissions data are not available, the owner or operator of the affected facility shall submit a signed statement indicating if any changes were made in operation of the emission control system during the period of data unavailability. Operations of the control system and affected facility during periods of data unavailability are to be compared with operation of the control system and affected facility before and following the period of data unavailability.</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(g) [Reserved]</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r w:rsidRPr="00BB64FF">
        <w:rPr>
          <w:szCs w:val="22"/>
        </w:rPr>
        <w:t>(h) The owner or operator of the affected facility shall submit a signed statement indicating whether:</w:t>
      </w:r>
    </w:p>
    <w:p w:rsidR="00BB64FF" w:rsidRPr="00BB64FF" w:rsidRDefault="00BB64FF" w:rsidP="00BB64FF">
      <w:pPr>
        <w:spacing w:after="40"/>
        <w:ind w:left="20"/>
        <w:rPr>
          <w:szCs w:val="22"/>
        </w:rPr>
      </w:pPr>
      <w:r w:rsidRPr="00BB64FF">
        <w:rPr>
          <w:szCs w:val="22"/>
        </w:rPr>
        <w:t>(1) The required CEMS calibration, span, and drift checks or other periodic audits have or have not been performed as specified.</w:t>
      </w:r>
    </w:p>
    <w:p w:rsidR="00BB64FF" w:rsidRPr="00BB64FF" w:rsidRDefault="00BB64FF" w:rsidP="00BB64FF">
      <w:pPr>
        <w:spacing w:after="40"/>
        <w:ind w:left="20"/>
        <w:rPr>
          <w:szCs w:val="22"/>
        </w:rPr>
      </w:pPr>
      <w:r w:rsidRPr="00BB64FF">
        <w:rPr>
          <w:szCs w:val="22"/>
        </w:rPr>
        <w:t>(2) The data used to show compliance was or was not obtained in accordance with approved methods and procedures of this part and is representative of plant performance.</w:t>
      </w:r>
    </w:p>
    <w:p w:rsidR="00BB64FF" w:rsidRPr="00BB64FF" w:rsidRDefault="00BB64FF" w:rsidP="00BB64FF">
      <w:pPr>
        <w:spacing w:after="40"/>
        <w:ind w:left="20"/>
        <w:rPr>
          <w:szCs w:val="22"/>
        </w:rPr>
      </w:pPr>
      <w:r w:rsidRPr="00BB64FF">
        <w:rPr>
          <w:szCs w:val="22"/>
        </w:rPr>
        <w:t>(3) The minimum data requirements have or have not been met; or, the minimum data requirements have not been met for errors that were unavoidable.</w:t>
      </w:r>
    </w:p>
    <w:p w:rsidR="00BB64FF" w:rsidRPr="00BB64FF" w:rsidRDefault="00BB64FF" w:rsidP="00BB64FF">
      <w:pPr>
        <w:spacing w:after="40"/>
        <w:ind w:left="20"/>
        <w:rPr>
          <w:szCs w:val="22"/>
        </w:rPr>
      </w:pPr>
      <w:r w:rsidRPr="00BB64FF">
        <w:rPr>
          <w:szCs w:val="22"/>
        </w:rPr>
        <w:lastRenderedPageBreak/>
        <w:t>(4) Compliance with the standards has or has not been achieved during the reporting period.</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xml:space="preserve">) For the purposes of the reports required under § 60.7, periods of excess emissions are defined as all 6-minute periods during which the average opacity exceeds the applicable opacity standards under § </w:t>
      </w:r>
      <w:proofErr w:type="gramStart"/>
      <w:r w:rsidRPr="00BB64FF">
        <w:rPr>
          <w:szCs w:val="22"/>
        </w:rPr>
        <w:t>60.42Da(</w:t>
      </w:r>
      <w:proofErr w:type="gramEnd"/>
      <w:r w:rsidRPr="00BB64FF">
        <w:rPr>
          <w:szCs w:val="22"/>
        </w:rPr>
        <w:t>b). Opacity levels in excess of the applicable opacity standard and the date of such excesses are to be submitted to the Administrator each calendar quarter.</w:t>
      </w:r>
    </w:p>
    <w:p w:rsidR="00BB64FF" w:rsidRPr="00BB64FF" w:rsidRDefault="00BB64FF" w:rsidP="00BB64FF">
      <w:pPr>
        <w:spacing w:after="40"/>
        <w:ind w:left="20"/>
        <w:rPr>
          <w:szCs w:val="22"/>
        </w:rPr>
      </w:pPr>
      <w:r w:rsidRPr="00BB64FF">
        <w:rPr>
          <w:szCs w:val="22"/>
        </w:rPr>
        <w:t>(j) The owner or operator of an affected facility shall submit the written reports required under this section and subpart A to the Administrator semiannually for each six-month period. All semiannual reports shall be postmarked by the 30th day following the end of each six-month period.</w:t>
      </w:r>
    </w:p>
    <w:p w:rsidR="00BB64FF" w:rsidRPr="00BB64FF" w:rsidRDefault="00BB64FF" w:rsidP="00BB64FF">
      <w:pPr>
        <w:spacing w:after="40"/>
        <w:ind w:left="20"/>
        <w:rPr>
          <w:szCs w:val="22"/>
        </w:rPr>
      </w:pPr>
      <w:r w:rsidRPr="00BB64FF">
        <w:rPr>
          <w:szCs w:val="22"/>
        </w:rPr>
        <w:t>(k) The owner or operator of an affected facility may submit electronic quarterly reports for SO</w:t>
      </w:r>
      <w:r w:rsidRPr="00F4004E">
        <w:rPr>
          <w:szCs w:val="22"/>
          <w:vertAlign w:val="subscript"/>
        </w:rPr>
        <w:t>2</w:t>
      </w:r>
      <w:r w:rsidRPr="00BB64FF">
        <w:rPr>
          <w:szCs w:val="22"/>
        </w:rPr>
        <w:t xml:space="preserve"> and/or NOX and/or opacity in lieu of submitting the written reports required under paragraphs (b) and (</w:t>
      </w:r>
      <w:proofErr w:type="spellStart"/>
      <w:r w:rsidRPr="00BB64FF">
        <w:rPr>
          <w:szCs w:val="22"/>
        </w:rPr>
        <w:t>i</w:t>
      </w:r>
      <w:proofErr w:type="spellEnd"/>
      <w:r w:rsidRPr="00BB64FF">
        <w:rPr>
          <w:szCs w:val="22"/>
        </w:rPr>
        <w:t>)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w:t>
      </w:r>
    </w:p>
    <w:p w:rsidR="00BB64FF" w:rsidRPr="00BB64FF" w:rsidRDefault="00BB64FF" w:rsidP="00BB64FF">
      <w:pPr>
        <w:spacing w:after="40"/>
        <w:ind w:left="20"/>
        <w:rPr>
          <w:szCs w:val="22"/>
        </w:rPr>
      </w:pPr>
      <w:r w:rsidRPr="00BB64FF">
        <w:rPr>
          <w:szCs w:val="22"/>
        </w:rPr>
        <w:t>[72 FR 32722, June 13, 2007, as amended at 74 FR 5083, Jan. 28, 2009; 77 FR 9458, Feb. 16, 2012]</w:t>
      </w:r>
    </w:p>
    <w:p w:rsidR="00BB64FF" w:rsidRPr="00BB64FF" w:rsidRDefault="00BB64FF" w:rsidP="00BB64FF">
      <w:pPr>
        <w:spacing w:after="40"/>
        <w:ind w:left="20"/>
        <w:rPr>
          <w:szCs w:val="22"/>
        </w:rPr>
      </w:pPr>
    </w:p>
    <w:p w:rsidR="00BB64FF" w:rsidRPr="00BB64FF" w:rsidRDefault="00BB64FF" w:rsidP="00BB64FF">
      <w:pPr>
        <w:spacing w:after="40"/>
        <w:ind w:left="20"/>
        <w:rPr>
          <w:szCs w:val="22"/>
        </w:rPr>
      </w:pPr>
      <w:proofErr w:type="gramStart"/>
      <w:r w:rsidRPr="00BB64FF">
        <w:rPr>
          <w:szCs w:val="22"/>
        </w:rPr>
        <w:t>§ 60.52Da   Recordkeeping requirements.</w:t>
      </w:r>
      <w:proofErr w:type="gramEnd"/>
    </w:p>
    <w:p w:rsidR="00BB64FF" w:rsidRPr="00BB64FF" w:rsidRDefault="00BB64FF" w:rsidP="00BB64FF">
      <w:pPr>
        <w:spacing w:after="40"/>
        <w:ind w:left="20"/>
        <w:rPr>
          <w:szCs w:val="22"/>
        </w:rPr>
      </w:pPr>
      <w:r w:rsidRPr="00BB64FF">
        <w:rPr>
          <w:szCs w:val="22"/>
        </w:rPr>
        <w:t>(a) [Reserved]</w:t>
      </w:r>
    </w:p>
    <w:p w:rsidR="00BB64FF" w:rsidRPr="00BB64FF" w:rsidRDefault="00BB64FF" w:rsidP="00BB64FF">
      <w:pPr>
        <w:spacing w:after="40"/>
        <w:ind w:left="20"/>
        <w:rPr>
          <w:szCs w:val="22"/>
        </w:rPr>
      </w:pPr>
      <w:r w:rsidRPr="00BB64FF">
        <w:rPr>
          <w:szCs w:val="22"/>
        </w:rPr>
        <w:t>(b) The owner or operator of an affected facility subject to the opacity limits in § 60.42Da(b) that elects to monitor emissions according to the requirements in § 60.49Da(a)(3) shall maintain records according to the requirements specified in paragraphs (b)(1) through (3) of this section, as applicable to the visible emissions monitoring method used.</w:t>
      </w:r>
    </w:p>
    <w:p w:rsidR="00BB64FF" w:rsidRPr="00BB64FF" w:rsidRDefault="001E6028" w:rsidP="00BB64FF">
      <w:pPr>
        <w:spacing w:after="40"/>
        <w:ind w:left="20"/>
        <w:rPr>
          <w:szCs w:val="22"/>
        </w:rPr>
      </w:pPr>
      <w:r w:rsidRPr="00BB64FF">
        <w:rPr>
          <w:szCs w:val="22"/>
        </w:rPr>
        <w:t xml:space="preserve"> </w:t>
      </w:r>
      <w:r w:rsidR="00BB64FF" w:rsidRPr="00BB64FF">
        <w:rPr>
          <w:szCs w:val="22"/>
        </w:rPr>
        <w:t>(1) For each performance test conducted using Method 9 of appendix A-4 of this part, the owner or operator shall keep the records including the information specified in paragraphs (b)(1)(</w:t>
      </w:r>
      <w:proofErr w:type="spellStart"/>
      <w:r w:rsidR="00BB64FF" w:rsidRPr="00BB64FF">
        <w:rPr>
          <w:szCs w:val="22"/>
        </w:rPr>
        <w:t>i</w:t>
      </w:r>
      <w:proofErr w:type="spellEnd"/>
      <w:r w:rsidR="00BB64FF" w:rsidRPr="00BB64FF">
        <w:rPr>
          <w:szCs w:val="22"/>
        </w:rPr>
        <w:t>) through (iii)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Dates and time intervals of all opacity observation periods;</w:t>
      </w:r>
    </w:p>
    <w:p w:rsidR="00BB64FF" w:rsidRPr="00BB64FF" w:rsidRDefault="00BB64FF" w:rsidP="00BB64FF">
      <w:pPr>
        <w:spacing w:after="40"/>
        <w:ind w:left="20"/>
        <w:rPr>
          <w:szCs w:val="22"/>
        </w:rPr>
      </w:pPr>
      <w:r w:rsidRPr="00BB64FF">
        <w:rPr>
          <w:szCs w:val="22"/>
        </w:rPr>
        <w:t>(ii) Name, affiliation, and copy of current visible emission reading certification for each visible emission observer participating in the performance test; and</w:t>
      </w:r>
    </w:p>
    <w:p w:rsidR="00BB64FF" w:rsidRPr="00BB64FF" w:rsidRDefault="00BB64FF" w:rsidP="00BB64FF">
      <w:pPr>
        <w:spacing w:after="40"/>
        <w:ind w:left="20"/>
        <w:rPr>
          <w:szCs w:val="22"/>
        </w:rPr>
      </w:pPr>
      <w:r w:rsidRPr="00BB64FF">
        <w:rPr>
          <w:szCs w:val="22"/>
        </w:rPr>
        <w:t>(iii) Copies of all visible emission observer opacity field data sheets;</w:t>
      </w:r>
    </w:p>
    <w:p w:rsidR="00BB64FF" w:rsidRPr="00BB64FF" w:rsidRDefault="00BB64FF" w:rsidP="00BB64FF">
      <w:pPr>
        <w:spacing w:after="40"/>
        <w:ind w:left="20"/>
        <w:rPr>
          <w:szCs w:val="22"/>
        </w:rPr>
      </w:pPr>
      <w:r w:rsidRPr="00BB64FF">
        <w:rPr>
          <w:szCs w:val="22"/>
        </w:rPr>
        <w:t>(2) For each performance test conducted using Method 22 of appendix A-4 of this part, the owner or operator shall keep the records including the information specified in paragraphs (b)(2)(</w:t>
      </w:r>
      <w:proofErr w:type="spellStart"/>
      <w:r w:rsidRPr="00BB64FF">
        <w:rPr>
          <w:szCs w:val="22"/>
        </w:rPr>
        <w:t>i</w:t>
      </w:r>
      <w:proofErr w:type="spellEnd"/>
      <w:r w:rsidRPr="00BB64FF">
        <w:rPr>
          <w:szCs w:val="22"/>
        </w:rPr>
        <w:t>) through (iv) of this section.</w:t>
      </w:r>
    </w:p>
    <w:p w:rsidR="00BB64FF" w:rsidRPr="00BB64FF" w:rsidRDefault="00BB64FF" w:rsidP="00BB64FF">
      <w:pPr>
        <w:spacing w:after="40"/>
        <w:ind w:left="20"/>
        <w:rPr>
          <w:szCs w:val="22"/>
        </w:rPr>
      </w:pPr>
      <w:r w:rsidRPr="00BB64FF">
        <w:rPr>
          <w:szCs w:val="22"/>
        </w:rPr>
        <w:t>(</w:t>
      </w:r>
      <w:proofErr w:type="spellStart"/>
      <w:r w:rsidRPr="00BB64FF">
        <w:rPr>
          <w:szCs w:val="22"/>
        </w:rPr>
        <w:t>i</w:t>
      </w:r>
      <w:proofErr w:type="spellEnd"/>
      <w:r w:rsidRPr="00BB64FF">
        <w:rPr>
          <w:szCs w:val="22"/>
        </w:rPr>
        <w:t>) Dates and time intervals of all visible emissions observation periods;</w:t>
      </w:r>
    </w:p>
    <w:p w:rsidR="00BB64FF" w:rsidRPr="00BB64FF" w:rsidRDefault="00BB64FF" w:rsidP="00BB64FF">
      <w:pPr>
        <w:spacing w:after="40"/>
        <w:ind w:left="20"/>
        <w:rPr>
          <w:szCs w:val="22"/>
        </w:rPr>
      </w:pPr>
      <w:r w:rsidRPr="00BB64FF">
        <w:rPr>
          <w:szCs w:val="22"/>
        </w:rPr>
        <w:t>(ii) Name and affiliation for each visible emission observer participating in the performance test;</w:t>
      </w:r>
    </w:p>
    <w:p w:rsidR="00BB64FF" w:rsidRPr="00BB64FF" w:rsidRDefault="00BB64FF" w:rsidP="00BB64FF">
      <w:pPr>
        <w:spacing w:after="40"/>
        <w:ind w:left="20"/>
        <w:rPr>
          <w:szCs w:val="22"/>
        </w:rPr>
      </w:pPr>
      <w:r w:rsidRPr="00BB64FF">
        <w:rPr>
          <w:szCs w:val="22"/>
        </w:rPr>
        <w:t>(iii) Copies of all visible emission observer opacity field data sheets; and</w:t>
      </w:r>
    </w:p>
    <w:p w:rsidR="00BB64FF" w:rsidRPr="00BB64FF" w:rsidRDefault="00BB64FF" w:rsidP="00BB64FF">
      <w:pPr>
        <w:spacing w:after="40"/>
        <w:ind w:left="20"/>
        <w:rPr>
          <w:szCs w:val="22"/>
        </w:rPr>
      </w:pPr>
      <w:proofErr w:type="gramStart"/>
      <w:r w:rsidRPr="00BB64FF">
        <w:rPr>
          <w:szCs w:val="22"/>
        </w:rPr>
        <w:t>(iv) Documentation</w:t>
      </w:r>
      <w:proofErr w:type="gramEnd"/>
      <w:r w:rsidRPr="00BB64FF">
        <w:rPr>
          <w:szCs w:val="22"/>
        </w:rPr>
        <w:t xml:space="preserve"> of any adjustments made and the time the adjustments were completed to the affected facility operation by the owner or operator to demonstrate compliance with the applicable monitoring requirements.</w:t>
      </w:r>
    </w:p>
    <w:p w:rsidR="00BB64FF" w:rsidRPr="00BB64FF" w:rsidRDefault="00BB64FF" w:rsidP="00BB64FF">
      <w:pPr>
        <w:spacing w:after="40"/>
        <w:ind w:left="20"/>
        <w:rPr>
          <w:szCs w:val="22"/>
        </w:rPr>
      </w:pPr>
      <w:r w:rsidRPr="00BB64FF">
        <w:rPr>
          <w:szCs w:val="22"/>
        </w:rPr>
        <w:t>(3) For each digital opacity compliance system, the owner or operator shall maintain records and submit reports according to the requirements specified in the site-specific monitoring plan approved by the Administrator.</w:t>
      </w:r>
    </w:p>
    <w:p w:rsidR="00BB64FF" w:rsidRPr="00BB64FF" w:rsidRDefault="00BB64FF" w:rsidP="00BB64FF">
      <w:pPr>
        <w:spacing w:after="40"/>
        <w:ind w:left="20"/>
        <w:rPr>
          <w:szCs w:val="22"/>
        </w:rPr>
      </w:pPr>
      <w:r w:rsidRPr="00BB64FF">
        <w:rPr>
          <w:szCs w:val="22"/>
        </w:rPr>
        <w:t>[74 FR 5083, Jan. 28, 2009, as amended at 77 FR 9459, Feb. 16, 2012]</w:t>
      </w:r>
    </w:p>
    <w:p w:rsidR="00BB64FF" w:rsidRDefault="00C754B0" w:rsidP="00BB64FF">
      <w:pPr>
        <w:spacing w:after="40"/>
        <w:ind w:left="20"/>
        <w:rPr>
          <w:szCs w:val="22"/>
        </w:rPr>
      </w:pPr>
      <w:hyperlink r:id="rId39" w:history="1">
        <w:r w:rsidR="001E6028">
          <w:rPr>
            <w:rStyle w:val="Hyperlink"/>
            <w:szCs w:val="22"/>
          </w:rPr>
          <w:t>Link to NSPS Subpart Da</w:t>
        </w:r>
      </w:hyperlink>
      <w:r w:rsidR="001E6028">
        <w:rPr>
          <w:szCs w:val="22"/>
        </w:rPr>
        <w:t xml:space="preserve"> </w:t>
      </w:r>
    </w:p>
    <w:p w:rsidR="00BB64FF" w:rsidRPr="00F61532" w:rsidRDefault="00BB64FF" w:rsidP="00F61532">
      <w:pPr>
        <w:spacing w:after="120"/>
        <w:ind w:left="20"/>
        <w:rPr>
          <w:szCs w:val="22"/>
        </w:rPr>
      </w:pPr>
    </w:p>
    <w:p w:rsidR="00FA3CC5" w:rsidRDefault="00FA3CC5" w:rsidP="000310CB">
      <w:pPr>
        <w:spacing w:after="120"/>
        <w:ind w:left="20"/>
        <w:rPr>
          <w:szCs w:val="22"/>
        </w:rPr>
        <w:sectPr w:rsidR="00FA3CC5" w:rsidSect="00911769">
          <w:headerReference w:type="even" r:id="rId40"/>
          <w:headerReference w:type="default" r:id="rId41"/>
          <w:footerReference w:type="default" r:id="rId42"/>
          <w:headerReference w:type="first" r:id="rId43"/>
          <w:pgSz w:w="12240" w:h="15840" w:code="1"/>
          <w:pgMar w:top="720" w:right="1152" w:bottom="720" w:left="1152" w:header="720" w:footer="446" w:gutter="0"/>
          <w:paperSrc w:first="16640" w:other="16640"/>
          <w:pgNumType w:start="1"/>
          <w:cols w:space="720"/>
        </w:sectPr>
      </w:pPr>
    </w:p>
    <w:p w:rsidR="006F3308" w:rsidRPr="006F3308" w:rsidRDefault="006F3308" w:rsidP="006F3308">
      <w:pPr>
        <w:rPr>
          <w:b/>
          <w:bCs/>
          <w:szCs w:val="22"/>
        </w:rPr>
      </w:pPr>
      <w:r w:rsidRPr="006F3308">
        <w:rPr>
          <w:b/>
          <w:bCs/>
          <w:szCs w:val="22"/>
        </w:rPr>
        <w:lastRenderedPageBreak/>
        <w:t>Follow the below links to go to the desired portion of NSPS Subpart D</w:t>
      </w:r>
      <w:r w:rsidR="001E6028">
        <w:rPr>
          <w:b/>
          <w:bCs/>
          <w:szCs w:val="22"/>
        </w:rPr>
        <w:t>DDDD</w:t>
      </w:r>
    </w:p>
    <w:p w:rsidR="006F3308" w:rsidRPr="006F3308" w:rsidRDefault="006F3308" w:rsidP="006F3308">
      <w:pPr>
        <w:rPr>
          <w:bCs/>
          <w:szCs w:val="22"/>
        </w:rPr>
      </w:pPr>
    </w:p>
    <w:p w:rsidR="00A24CEF" w:rsidRPr="00A24CEF" w:rsidRDefault="00C754B0" w:rsidP="00A24CEF">
      <w:pPr>
        <w:spacing w:after="100" w:afterAutospacing="1"/>
        <w:rPr>
          <w:smallCaps/>
          <w:szCs w:val="22"/>
        </w:rPr>
      </w:pPr>
      <w:hyperlink r:id="rId44" w:anchor="40:14.0.1.1.1.5.137" w:history="1">
        <w:r w:rsidR="00A24CEF" w:rsidRPr="00A24CEF">
          <w:rPr>
            <w:smallCaps/>
            <w:color w:val="0000FF"/>
            <w:szCs w:val="22"/>
          </w:rPr>
          <w:t>What This Subpart Covers</w:t>
        </w:r>
      </w:hyperlink>
    </w:p>
    <w:p w:rsidR="00A24CEF" w:rsidRPr="00A24CEF" w:rsidRDefault="00C754B0" w:rsidP="00A24CEF">
      <w:pPr>
        <w:rPr>
          <w:szCs w:val="22"/>
        </w:rPr>
      </w:pPr>
      <w:hyperlink r:id="rId45" w:anchor="40:14.0.1.1.1.5.137.1" w:history="1">
        <w:r w:rsidR="00A24CEF" w:rsidRPr="00A24CEF">
          <w:rPr>
            <w:color w:val="0000FF"/>
            <w:szCs w:val="22"/>
          </w:rPr>
          <w:t>§ 63.7480   </w:t>
        </w:r>
        <w:proofErr w:type="gramStart"/>
        <w:r w:rsidR="00A24CEF" w:rsidRPr="00A24CEF">
          <w:rPr>
            <w:color w:val="0000FF"/>
            <w:szCs w:val="22"/>
          </w:rPr>
          <w:t>What</w:t>
        </w:r>
        <w:proofErr w:type="gramEnd"/>
        <w:r w:rsidR="00A24CEF" w:rsidRPr="00A24CEF">
          <w:rPr>
            <w:color w:val="0000FF"/>
            <w:szCs w:val="22"/>
          </w:rPr>
          <w:t xml:space="preserve"> is the purpose of this subpart?</w:t>
        </w:r>
      </w:hyperlink>
      <w:r w:rsidR="00A24CEF" w:rsidRPr="00A24CEF">
        <w:rPr>
          <w:szCs w:val="22"/>
        </w:rPr>
        <w:br/>
      </w:r>
      <w:hyperlink r:id="rId46" w:anchor="40:14.0.1.1.1.5.137.2" w:history="1">
        <w:r w:rsidR="00A24CEF" w:rsidRPr="00A24CEF">
          <w:rPr>
            <w:color w:val="0000FF"/>
            <w:szCs w:val="22"/>
          </w:rPr>
          <w:t>§ 63.7485   Am I subject to this subpart?</w:t>
        </w:r>
      </w:hyperlink>
      <w:r w:rsidR="00A24CEF" w:rsidRPr="00A24CEF">
        <w:rPr>
          <w:szCs w:val="22"/>
        </w:rPr>
        <w:br/>
      </w:r>
      <w:hyperlink r:id="rId47" w:anchor="40:14.0.1.1.1.5.137.3" w:history="1">
        <w:r w:rsidR="00A24CEF" w:rsidRPr="00A24CEF">
          <w:rPr>
            <w:color w:val="0000FF"/>
            <w:szCs w:val="22"/>
          </w:rPr>
          <w:t>§ 63.7490   </w:t>
        </w:r>
        <w:proofErr w:type="gramStart"/>
        <w:r w:rsidR="00A24CEF" w:rsidRPr="00A24CEF">
          <w:rPr>
            <w:color w:val="0000FF"/>
            <w:szCs w:val="22"/>
          </w:rPr>
          <w:t>What</w:t>
        </w:r>
        <w:proofErr w:type="gramEnd"/>
        <w:r w:rsidR="00A24CEF" w:rsidRPr="00A24CEF">
          <w:rPr>
            <w:color w:val="0000FF"/>
            <w:szCs w:val="22"/>
          </w:rPr>
          <w:t xml:space="preserve"> is the affected source of this subpart?</w:t>
        </w:r>
      </w:hyperlink>
      <w:r w:rsidR="00A24CEF" w:rsidRPr="00A24CEF">
        <w:rPr>
          <w:szCs w:val="22"/>
        </w:rPr>
        <w:br/>
      </w:r>
      <w:hyperlink r:id="rId48" w:anchor="40:14.0.1.1.1.5.137.4" w:history="1">
        <w:r w:rsidR="00A24CEF" w:rsidRPr="00A24CEF">
          <w:rPr>
            <w:color w:val="0000FF"/>
            <w:szCs w:val="22"/>
          </w:rPr>
          <w:t>§ 63.7491   </w:t>
        </w:r>
        <w:proofErr w:type="gramStart"/>
        <w:r w:rsidR="00A24CEF" w:rsidRPr="00A24CEF">
          <w:rPr>
            <w:color w:val="0000FF"/>
            <w:szCs w:val="22"/>
          </w:rPr>
          <w:t>Are</w:t>
        </w:r>
        <w:proofErr w:type="gramEnd"/>
        <w:r w:rsidR="00A24CEF" w:rsidRPr="00A24CEF">
          <w:rPr>
            <w:color w:val="0000FF"/>
            <w:szCs w:val="22"/>
          </w:rPr>
          <w:t xml:space="preserve"> any boilers or process heaters not subject to this subpart?</w:t>
        </w:r>
      </w:hyperlink>
      <w:r w:rsidR="00A24CEF" w:rsidRPr="00A24CEF">
        <w:rPr>
          <w:szCs w:val="22"/>
        </w:rPr>
        <w:br/>
      </w:r>
      <w:hyperlink r:id="rId49" w:anchor="40:14.0.1.1.1.5.137.5" w:history="1">
        <w:r w:rsidR="00A24CEF" w:rsidRPr="00A24CEF">
          <w:rPr>
            <w:color w:val="0000FF"/>
            <w:szCs w:val="22"/>
          </w:rPr>
          <w:t>§ 63.7495   When do I have to comply with this subpart?</w:t>
        </w:r>
      </w:hyperlink>
    </w:p>
    <w:p w:rsidR="00A24CEF" w:rsidRPr="00A24CEF" w:rsidRDefault="00C754B0" w:rsidP="00A24CEF">
      <w:pPr>
        <w:spacing w:after="100" w:afterAutospacing="1"/>
        <w:rPr>
          <w:smallCaps/>
          <w:szCs w:val="22"/>
        </w:rPr>
      </w:pPr>
      <w:hyperlink r:id="rId50" w:anchor="40:14.0.1.1.1.5.138" w:history="1">
        <w:r w:rsidR="00A24CEF" w:rsidRPr="00A24CEF">
          <w:rPr>
            <w:smallCaps/>
            <w:color w:val="0000FF"/>
            <w:szCs w:val="22"/>
          </w:rPr>
          <w:t>Emission Limitations and Work Practice Standards</w:t>
        </w:r>
      </w:hyperlink>
    </w:p>
    <w:p w:rsidR="00A24CEF" w:rsidRPr="00A24CEF" w:rsidRDefault="00C754B0" w:rsidP="00A24CEF">
      <w:pPr>
        <w:rPr>
          <w:szCs w:val="22"/>
        </w:rPr>
      </w:pPr>
      <w:hyperlink r:id="rId51" w:anchor="40:14.0.1.1.1.5.138.6" w:history="1">
        <w:r w:rsidR="00A24CEF" w:rsidRPr="00A24CEF">
          <w:rPr>
            <w:color w:val="0000FF"/>
            <w:szCs w:val="22"/>
          </w:rPr>
          <w:t>§ 63.7499   </w:t>
        </w:r>
        <w:proofErr w:type="gramStart"/>
        <w:r w:rsidR="00A24CEF" w:rsidRPr="00A24CEF">
          <w:rPr>
            <w:color w:val="0000FF"/>
            <w:szCs w:val="22"/>
          </w:rPr>
          <w:t>What</w:t>
        </w:r>
        <w:proofErr w:type="gramEnd"/>
        <w:r w:rsidR="00A24CEF" w:rsidRPr="00A24CEF">
          <w:rPr>
            <w:color w:val="0000FF"/>
            <w:szCs w:val="22"/>
          </w:rPr>
          <w:t xml:space="preserve"> are the subcategories of boilers and process heaters?</w:t>
        </w:r>
      </w:hyperlink>
      <w:r w:rsidR="00A24CEF" w:rsidRPr="00A24CEF">
        <w:rPr>
          <w:szCs w:val="22"/>
        </w:rPr>
        <w:br/>
      </w:r>
      <w:hyperlink r:id="rId52" w:anchor="40:14.0.1.1.1.5.138.7" w:history="1">
        <w:r w:rsidR="00A24CEF" w:rsidRPr="00A24CEF">
          <w:rPr>
            <w:color w:val="0000FF"/>
            <w:szCs w:val="22"/>
          </w:rPr>
          <w:t>§ 63.7500   </w:t>
        </w:r>
        <w:proofErr w:type="gramStart"/>
        <w:r w:rsidR="00A24CEF" w:rsidRPr="00A24CEF">
          <w:rPr>
            <w:color w:val="0000FF"/>
            <w:szCs w:val="22"/>
          </w:rPr>
          <w:t>What</w:t>
        </w:r>
        <w:proofErr w:type="gramEnd"/>
        <w:r w:rsidR="00A24CEF" w:rsidRPr="00A24CEF">
          <w:rPr>
            <w:color w:val="0000FF"/>
            <w:szCs w:val="22"/>
          </w:rPr>
          <w:t xml:space="preserve"> emission limitations, work practice standards, and operating limits must I meet?</w:t>
        </w:r>
      </w:hyperlink>
      <w:r w:rsidR="00A24CEF" w:rsidRPr="00A24CEF">
        <w:rPr>
          <w:szCs w:val="22"/>
        </w:rPr>
        <w:br/>
      </w:r>
      <w:hyperlink r:id="rId53" w:anchor="40:14.0.1.1.1.5.138.8" w:history="1">
        <w:r w:rsidR="00A24CEF" w:rsidRPr="00A24CEF">
          <w:rPr>
            <w:color w:val="0000FF"/>
            <w:szCs w:val="22"/>
          </w:rPr>
          <w:t xml:space="preserve">§ 63.7501   Affirmative Defense for Violation of Emission Standards </w:t>
        </w:r>
        <w:proofErr w:type="gramStart"/>
        <w:r w:rsidR="00A24CEF" w:rsidRPr="00A24CEF">
          <w:rPr>
            <w:color w:val="0000FF"/>
            <w:szCs w:val="22"/>
          </w:rPr>
          <w:t>During</w:t>
        </w:r>
        <w:proofErr w:type="gramEnd"/>
        <w:r w:rsidR="00A24CEF" w:rsidRPr="00A24CEF">
          <w:rPr>
            <w:color w:val="0000FF"/>
            <w:szCs w:val="22"/>
          </w:rPr>
          <w:t xml:space="preserve"> Malfunction.</w:t>
        </w:r>
      </w:hyperlink>
    </w:p>
    <w:p w:rsidR="00A24CEF" w:rsidRPr="00A24CEF" w:rsidRDefault="00C754B0" w:rsidP="00A24CEF">
      <w:pPr>
        <w:spacing w:after="100" w:afterAutospacing="1"/>
        <w:rPr>
          <w:smallCaps/>
          <w:szCs w:val="22"/>
        </w:rPr>
      </w:pPr>
      <w:hyperlink r:id="rId54" w:anchor="40:14.0.1.1.1.5.139" w:history="1">
        <w:r w:rsidR="00A24CEF" w:rsidRPr="00A24CEF">
          <w:rPr>
            <w:smallCaps/>
            <w:color w:val="0000FF"/>
            <w:szCs w:val="22"/>
          </w:rPr>
          <w:t>General Compliance Requirements</w:t>
        </w:r>
      </w:hyperlink>
    </w:p>
    <w:p w:rsidR="00A24CEF" w:rsidRPr="00A24CEF" w:rsidRDefault="00C754B0" w:rsidP="00A24CEF">
      <w:pPr>
        <w:rPr>
          <w:szCs w:val="22"/>
        </w:rPr>
      </w:pPr>
      <w:hyperlink r:id="rId55" w:anchor="40:14.0.1.1.1.5.139.9" w:history="1">
        <w:r w:rsidR="00A24CEF" w:rsidRPr="00A24CEF">
          <w:rPr>
            <w:color w:val="0000FF"/>
            <w:szCs w:val="22"/>
          </w:rPr>
          <w:t>§ 63.7505   </w:t>
        </w:r>
        <w:proofErr w:type="gramStart"/>
        <w:r w:rsidR="00A24CEF" w:rsidRPr="00A24CEF">
          <w:rPr>
            <w:color w:val="0000FF"/>
            <w:szCs w:val="22"/>
          </w:rPr>
          <w:t>What</w:t>
        </w:r>
        <w:proofErr w:type="gramEnd"/>
        <w:r w:rsidR="00A24CEF" w:rsidRPr="00A24CEF">
          <w:rPr>
            <w:color w:val="0000FF"/>
            <w:szCs w:val="22"/>
          </w:rPr>
          <w:t xml:space="preserve"> are my general requirements for complying with this subpart?</w:t>
        </w:r>
      </w:hyperlink>
    </w:p>
    <w:p w:rsidR="00A24CEF" w:rsidRPr="00A24CEF" w:rsidRDefault="00C754B0" w:rsidP="00A24CEF">
      <w:pPr>
        <w:spacing w:after="100" w:afterAutospacing="1"/>
        <w:rPr>
          <w:smallCaps/>
          <w:szCs w:val="22"/>
        </w:rPr>
      </w:pPr>
      <w:hyperlink r:id="rId56" w:anchor="40:14.0.1.1.1.5.140" w:history="1">
        <w:r w:rsidR="00A24CEF" w:rsidRPr="00A24CEF">
          <w:rPr>
            <w:smallCaps/>
            <w:color w:val="0000FF"/>
            <w:szCs w:val="22"/>
          </w:rPr>
          <w:t>Testing, Fuel Analyses, and Initial Compliance Requirements</w:t>
        </w:r>
      </w:hyperlink>
    </w:p>
    <w:p w:rsidR="00A24CEF" w:rsidRPr="00A24CEF" w:rsidRDefault="00C754B0" w:rsidP="00A24CEF">
      <w:pPr>
        <w:rPr>
          <w:szCs w:val="22"/>
        </w:rPr>
      </w:pPr>
      <w:hyperlink r:id="rId57" w:anchor="40:14.0.1.1.1.5.140.10" w:history="1">
        <w:r w:rsidR="00A24CEF" w:rsidRPr="00A24CEF">
          <w:rPr>
            <w:color w:val="0000FF"/>
            <w:szCs w:val="22"/>
          </w:rPr>
          <w:t>§ 63.7510   </w:t>
        </w:r>
        <w:proofErr w:type="gramStart"/>
        <w:r w:rsidR="00A24CEF" w:rsidRPr="00A24CEF">
          <w:rPr>
            <w:color w:val="0000FF"/>
            <w:szCs w:val="22"/>
          </w:rPr>
          <w:t>What</w:t>
        </w:r>
        <w:proofErr w:type="gramEnd"/>
        <w:r w:rsidR="00A24CEF" w:rsidRPr="00A24CEF">
          <w:rPr>
            <w:color w:val="0000FF"/>
            <w:szCs w:val="22"/>
          </w:rPr>
          <w:t xml:space="preserve"> are my initial compliance requirements and by what date must I conduct them?</w:t>
        </w:r>
      </w:hyperlink>
      <w:r w:rsidR="00A24CEF" w:rsidRPr="00A24CEF">
        <w:rPr>
          <w:szCs w:val="22"/>
        </w:rPr>
        <w:br/>
      </w:r>
      <w:hyperlink r:id="rId58" w:anchor="40:14.0.1.1.1.5.140.11" w:history="1">
        <w:r w:rsidR="00A24CEF" w:rsidRPr="00A24CEF">
          <w:rPr>
            <w:color w:val="0000FF"/>
            <w:szCs w:val="22"/>
          </w:rPr>
          <w:t>§ 63.7515   </w:t>
        </w:r>
        <w:proofErr w:type="gramStart"/>
        <w:r w:rsidR="00A24CEF" w:rsidRPr="00A24CEF">
          <w:rPr>
            <w:color w:val="0000FF"/>
            <w:szCs w:val="22"/>
          </w:rPr>
          <w:t>When</w:t>
        </w:r>
        <w:proofErr w:type="gramEnd"/>
        <w:r w:rsidR="00A24CEF" w:rsidRPr="00A24CEF">
          <w:rPr>
            <w:color w:val="0000FF"/>
            <w:szCs w:val="22"/>
          </w:rPr>
          <w:t xml:space="preserve"> must I conduct subsequent performance tests, fuel analyses, or tune-ups?</w:t>
        </w:r>
      </w:hyperlink>
      <w:r w:rsidR="00A24CEF" w:rsidRPr="00A24CEF">
        <w:rPr>
          <w:szCs w:val="22"/>
        </w:rPr>
        <w:br/>
      </w:r>
      <w:hyperlink r:id="rId59" w:anchor="40:14.0.1.1.1.5.140.12" w:history="1">
        <w:r w:rsidR="00A24CEF" w:rsidRPr="00A24CEF">
          <w:rPr>
            <w:color w:val="0000FF"/>
            <w:szCs w:val="22"/>
          </w:rPr>
          <w:t>§ 63.7520   </w:t>
        </w:r>
        <w:proofErr w:type="gramStart"/>
        <w:r w:rsidR="00A24CEF" w:rsidRPr="00A24CEF">
          <w:rPr>
            <w:color w:val="0000FF"/>
            <w:szCs w:val="22"/>
          </w:rPr>
          <w:t>What</w:t>
        </w:r>
        <w:proofErr w:type="gramEnd"/>
        <w:r w:rsidR="00A24CEF" w:rsidRPr="00A24CEF">
          <w:rPr>
            <w:color w:val="0000FF"/>
            <w:szCs w:val="22"/>
          </w:rPr>
          <w:t xml:space="preserve"> stack tests and procedures must I use?</w:t>
        </w:r>
      </w:hyperlink>
      <w:r w:rsidR="00A24CEF" w:rsidRPr="00A24CEF">
        <w:rPr>
          <w:szCs w:val="22"/>
        </w:rPr>
        <w:br/>
      </w:r>
      <w:hyperlink r:id="rId60" w:anchor="40:14.0.1.1.1.5.140.13" w:history="1">
        <w:r w:rsidR="00A24CEF" w:rsidRPr="00A24CEF">
          <w:rPr>
            <w:color w:val="0000FF"/>
            <w:szCs w:val="22"/>
          </w:rPr>
          <w:t>§ 63.7521   </w:t>
        </w:r>
        <w:proofErr w:type="gramStart"/>
        <w:r w:rsidR="00A24CEF" w:rsidRPr="00A24CEF">
          <w:rPr>
            <w:color w:val="0000FF"/>
            <w:szCs w:val="22"/>
          </w:rPr>
          <w:t>What</w:t>
        </w:r>
        <w:proofErr w:type="gramEnd"/>
        <w:r w:rsidR="00A24CEF" w:rsidRPr="00A24CEF">
          <w:rPr>
            <w:color w:val="0000FF"/>
            <w:szCs w:val="22"/>
          </w:rPr>
          <w:t xml:space="preserve"> fuel analyses, fuel specification, and procedures must I use?</w:t>
        </w:r>
      </w:hyperlink>
      <w:r w:rsidR="00A24CEF" w:rsidRPr="00A24CEF">
        <w:rPr>
          <w:szCs w:val="22"/>
        </w:rPr>
        <w:br/>
      </w:r>
      <w:hyperlink r:id="rId61" w:anchor="40:14.0.1.1.1.5.140.14" w:history="1">
        <w:r w:rsidR="00A24CEF" w:rsidRPr="00A24CEF">
          <w:rPr>
            <w:color w:val="0000FF"/>
            <w:szCs w:val="22"/>
          </w:rPr>
          <w:t>§ 63.7522   Can I use emissions averaging to comply with this subpart?</w:t>
        </w:r>
      </w:hyperlink>
      <w:r w:rsidR="00A24CEF" w:rsidRPr="00A24CEF">
        <w:rPr>
          <w:szCs w:val="22"/>
        </w:rPr>
        <w:br/>
      </w:r>
      <w:hyperlink r:id="rId62" w:anchor="40:14.0.1.1.1.5.140.15" w:history="1">
        <w:r w:rsidR="00A24CEF" w:rsidRPr="00A24CEF">
          <w:rPr>
            <w:color w:val="0000FF"/>
            <w:szCs w:val="22"/>
          </w:rPr>
          <w:t>§ 63.7525   </w:t>
        </w:r>
        <w:proofErr w:type="gramStart"/>
        <w:r w:rsidR="00A24CEF" w:rsidRPr="00A24CEF">
          <w:rPr>
            <w:color w:val="0000FF"/>
            <w:szCs w:val="22"/>
          </w:rPr>
          <w:t>What</w:t>
        </w:r>
        <w:proofErr w:type="gramEnd"/>
        <w:r w:rsidR="00A24CEF" w:rsidRPr="00A24CEF">
          <w:rPr>
            <w:color w:val="0000FF"/>
            <w:szCs w:val="22"/>
          </w:rPr>
          <w:t xml:space="preserve"> are my monitoring, installation, operation, and maintenance requirements?</w:t>
        </w:r>
      </w:hyperlink>
      <w:r w:rsidR="00A24CEF" w:rsidRPr="00A24CEF">
        <w:rPr>
          <w:szCs w:val="22"/>
        </w:rPr>
        <w:br/>
      </w:r>
      <w:hyperlink r:id="rId63" w:anchor="40:14.0.1.1.1.5.140.16" w:history="1">
        <w:r w:rsidR="00A24CEF" w:rsidRPr="00A24CEF">
          <w:rPr>
            <w:color w:val="0000FF"/>
            <w:szCs w:val="22"/>
          </w:rPr>
          <w:t>§ 63.7530   </w:t>
        </w:r>
        <w:proofErr w:type="gramStart"/>
        <w:r w:rsidR="00A24CEF" w:rsidRPr="00A24CEF">
          <w:rPr>
            <w:color w:val="0000FF"/>
            <w:szCs w:val="22"/>
          </w:rPr>
          <w:t>How</w:t>
        </w:r>
        <w:proofErr w:type="gramEnd"/>
        <w:r w:rsidR="00A24CEF" w:rsidRPr="00A24CEF">
          <w:rPr>
            <w:color w:val="0000FF"/>
            <w:szCs w:val="22"/>
          </w:rPr>
          <w:t xml:space="preserve"> do I demonstrate initial compliance with the emission limitations, fuel specifications and work practice standards?</w:t>
        </w:r>
      </w:hyperlink>
      <w:r w:rsidR="00A24CEF" w:rsidRPr="00A24CEF">
        <w:rPr>
          <w:szCs w:val="22"/>
        </w:rPr>
        <w:br/>
      </w:r>
      <w:hyperlink r:id="rId64" w:anchor="40:14.0.1.1.1.5.140.17" w:history="1">
        <w:r w:rsidR="00A24CEF" w:rsidRPr="00A24CEF">
          <w:rPr>
            <w:color w:val="0000FF"/>
            <w:szCs w:val="22"/>
          </w:rPr>
          <w:t>§ 63.7533   Can I use efficiency credits earned from implementation of energy conservation measures to comply with this subpart?</w:t>
        </w:r>
      </w:hyperlink>
    </w:p>
    <w:p w:rsidR="00A24CEF" w:rsidRPr="00A24CEF" w:rsidRDefault="00C754B0" w:rsidP="00A24CEF">
      <w:pPr>
        <w:spacing w:after="100" w:afterAutospacing="1"/>
        <w:rPr>
          <w:smallCaps/>
          <w:szCs w:val="22"/>
        </w:rPr>
      </w:pPr>
      <w:hyperlink r:id="rId65" w:anchor="40:14.0.1.1.1.5.141" w:history="1">
        <w:r w:rsidR="00A24CEF" w:rsidRPr="00A24CEF">
          <w:rPr>
            <w:smallCaps/>
            <w:color w:val="0000FF"/>
            <w:szCs w:val="22"/>
          </w:rPr>
          <w:t>Continuous Compliance Requirements</w:t>
        </w:r>
      </w:hyperlink>
    </w:p>
    <w:p w:rsidR="00A24CEF" w:rsidRPr="00A24CEF" w:rsidRDefault="00C754B0" w:rsidP="00A24CEF">
      <w:pPr>
        <w:rPr>
          <w:szCs w:val="22"/>
        </w:rPr>
      </w:pPr>
      <w:hyperlink r:id="rId66" w:anchor="40:14.0.1.1.1.5.141.18" w:history="1">
        <w:r w:rsidR="00A24CEF" w:rsidRPr="00A24CEF">
          <w:rPr>
            <w:color w:val="0000FF"/>
            <w:szCs w:val="22"/>
          </w:rPr>
          <w:t>§ 63.7535   Is there a minimum amount of monitoring data I must obtain?</w:t>
        </w:r>
      </w:hyperlink>
      <w:r w:rsidR="00A24CEF" w:rsidRPr="00A24CEF">
        <w:rPr>
          <w:szCs w:val="22"/>
        </w:rPr>
        <w:br/>
      </w:r>
      <w:hyperlink r:id="rId67" w:anchor="40:14.0.1.1.1.5.141.19" w:history="1">
        <w:r w:rsidR="00A24CEF" w:rsidRPr="00A24CEF">
          <w:rPr>
            <w:color w:val="0000FF"/>
            <w:szCs w:val="22"/>
          </w:rPr>
          <w:t>§ 63.7540   </w:t>
        </w:r>
        <w:proofErr w:type="gramStart"/>
        <w:r w:rsidR="00A24CEF" w:rsidRPr="00A24CEF">
          <w:rPr>
            <w:color w:val="0000FF"/>
            <w:szCs w:val="22"/>
          </w:rPr>
          <w:t>How</w:t>
        </w:r>
        <w:proofErr w:type="gramEnd"/>
        <w:r w:rsidR="00A24CEF" w:rsidRPr="00A24CEF">
          <w:rPr>
            <w:color w:val="0000FF"/>
            <w:szCs w:val="22"/>
          </w:rPr>
          <w:t xml:space="preserve"> do I demonstrate continuous compliance with the emission limitations, fuel specifications and work practice standards?</w:t>
        </w:r>
      </w:hyperlink>
      <w:r w:rsidR="00A24CEF" w:rsidRPr="00A24CEF">
        <w:rPr>
          <w:szCs w:val="22"/>
        </w:rPr>
        <w:br/>
      </w:r>
      <w:hyperlink r:id="rId68" w:anchor="40:14.0.1.1.1.5.141.20" w:history="1">
        <w:r w:rsidR="00A24CEF" w:rsidRPr="00A24CEF">
          <w:rPr>
            <w:color w:val="0000FF"/>
            <w:szCs w:val="22"/>
          </w:rPr>
          <w:t>§ 63.7541   </w:t>
        </w:r>
        <w:proofErr w:type="gramStart"/>
        <w:r w:rsidR="00A24CEF" w:rsidRPr="00A24CEF">
          <w:rPr>
            <w:color w:val="0000FF"/>
            <w:szCs w:val="22"/>
          </w:rPr>
          <w:t>How</w:t>
        </w:r>
        <w:proofErr w:type="gramEnd"/>
        <w:r w:rsidR="00A24CEF" w:rsidRPr="00A24CEF">
          <w:rPr>
            <w:color w:val="0000FF"/>
            <w:szCs w:val="22"/>
          </w:rPr>
          <w:t xml:space="preserve"> do I demonstrate continuous compliance under the emissions averaging provision?</w:t>
        </w:r>
      </w:hyperlink>
    </w:p>
    <w:p w:rsidR="00A24CEF" w:rsidRPr="00A24CEF" w:rsidRDefault="00C754B0" w:rsidP="00A24CEF">
      <w:pPr>
        <w:spacing w:after="100" w:afterAutospacing="1"/>
        <w:rPr>
          <w:smallCaps/>
          <w:szCs w:val="22"/>
        </w:rPr>
      </w:pPr>
      <w:hyperlink r:id="rId69" w:anchor="40:14.0.1.1.1.5.142" w:history="1">
        <w:r w:rsidR="00A24CEF" w:rsidRPr="00A24CEF">
          <w:rPr>
            <w:smallCaps/>
            <w:color w:val="0000FF"/>
            <w:szCs w:val="22"/>
          </w:rPr>
          <w:t>Notification, Reports, and Records</w:t>
        </w:r>
      </w:hyperlink>
    </w:p>
    <w:p w:rsidR="00A24CEF" w:rsidRPr="00A24CEF" w:rsidRDefault="00C754B0" w:rsidP="00A24CEF">
      <w:pPr>
        <w:rPr>
          <w:szCs w:val="22"/>
        </w:rPr>
      </w:pPr>
      <w:hyperlink r:id="rId70" w:anchor="40:14.0.1.1.1.5.142.21" w:history="1">
        <w:r w:rsidR="00A24CEF" w:rsidRPr="00A24CEF">
          <w:rPr>
            <w:color w:val="0000FF"/>
            <w:szCs w:val="22"/>
          </w:rPr>
          <w:t>§ 63.7545   What notifications must I submit and when?</w:t>
        </w:r>
      </w:hyperlink>
      <w:r w:rsidR="00A24CEF" w:rsidRPr="00A24CEF">
        <w:rPr>
          <w:szCs w:val="22"/>
        </w:rPr>
        <w:br/>
      </w:r>
      <w:hyperlink r:id="rId71" w:anchor="40:14.0.1.1.1.5.142.22" w:history="1">
        <w:r w:rsidR="00A24CEF" w:rsidRPr="00A24CEF">
          <w:rPr>
            <w:color w:val="0000FF"/>
            <w:szCs w:val="22"/>
          </w:rPr>
          <w:t>§ 63.7550   </w:t>
        </w:r>
        <w:proofErr w:type="gramStart"/>
        <w:r w:rsidR="00A24CEF" w:rsidRPr="00A24CEF">
          <w:rPr>
            <w:color w:val="0000FF"/>
            <w:szCs w:val="22"/>
          </w:rPr>
          <w:t>What</w:t>
        </w:r>
        <w:proofErr w:type="gramEnd"/>
        <w:r w:rsidR="00A24CEF" w:rsidRPr="00A24CEF">
          <w:rPr>
            <w:color w:val="0000FF"/>
            <w:szCs w:val="22"/>
          </w:rPr>
          <w:t xml:space="preserve"> reports must I submit and when?</w:t>
        </w:r>
      </w:hyperlink>
      <w:r w:rsidR="00A24CEF" w:rsidRPr="00A24CEF">
        <w:rPr>
          <w:szCs w:val="22"/>
        </w:rPr>
        <w:br/>
      </w:r>
      <w:hyperlink r:id="rId72" w:anchor="40:14.0.1.1.1.5.142.23" w:history="1">
        <w:r w:rsidR="00A24CEF" w:rsidRPr="00A24CEF">
          <w:rPr>
            <w:color w:val="0000FF"/>
            <w:szCs w:val="22"/>
          </w:rPr>
          <w:t>§ 63.7555   </w:t>
        </w:r>
        <w:proofErr w:type="gramStart"/>
        <w:r w:rsidR="00A24CEF" w:rsidRPr="00A24CEF">
          <w:rPr>
            <w:color w:val="0000FF"/>
            <w:szCs w:val="22"/>
          </w:rPr>
          <w:t>What</w:t>
        </w:r>
        <w:proofErr w:type="gramEnd"/>
        <w:r w:rsidR="00A24CEF" w:rsidRPr="00A24CEF">
          <w:rPr>
            <w:color w:val="0000FF"/>
            <w:szCs w:val="22"/>
          </w:rPr>
          <w:t xml:space="preserve"> records must I keep?</w:t>
        </w:r>
      </w:hyperlink>
      <w:r w:rsidR="00A24CEF" w:rsidRPr="00A24CEF">
        <w:rPr>
          <w:szCs w:val="22"/>
        </w:rPr>
        <w:br/>
      </w:r>
      <w:hyperlink r:id="rId73" w:anchor="40:14.0.1.1.1.5.142.24" w:history="1">
        <w:r w:rsidR="00A24CEF" w:rsidRPr="00A24CEF">
          <w:rPr>
            <w:color w:val="0000FF"/>
            <w:szCs w:val="22"/>
          </w:rPr>
          <w:t>§ 63.7560   </w:t>
        </w:r>
        <w:proofErr w:type="gramStart"/>
        <w:r w:rsidR="00A24CEF" w:rsidRPr="00A24CEF">
          <w:rPr>
            <w:color w:val="0000FF"/>
            <w:szCs w:val="22"/>
          </w:rPr>
          <w:t>In</w:t>
        </w:r>
        <w:proofErr w:type="gramEnd"/>
        <w:r w:rsidR="00A24CEF" w:rsidRPr="00A24CEF">
          <w:rPr>
            <w:color w:val="0000FF"/>
            <w:szCs w:val="22"/>
          </w:rPr>
          <w:t xml:space="preserve"> what form and how long must I keep my records?</w:t>
        </w:r>
      </w:hyperlink>
    </w:p>
    <w:p w:rsidR="00A24CEF" w:rsidRPr="00A24CEF" w:rsidRDefault="00C754B0" w:rsidP="00A24CEF">
      <w:pPr>
        <w:spacing w:after="100" w:afterAutospacing="1"/>
        <w:rPr>
          <w:smallCaps/>
          <w:szCs w:val="22"/>
        </w:rPr>
      </w:pPr>
      <w:hyperlink r:id="rId74" w:anchor="40:14.0.1.1.1.5.143" w:history="1">
        <w:r w:rsidR="00A24CEF" w:rsidRPr="00A24CEF">
          <w:rPr>
            <w:smallCaps/>
            <w:color w:val="0000FF"/>
            <w:szCs w:val="22"/>
          </w:rPr>
          <w:t>Other Requirements and Information</w:t>
        </w:r>
      </w:hyperlink>
    </w:p>
    <w:p w:rsidR="00A24CEF" w:rsidRPr="00A24CEF" w:rsidRDefault="00C754B0" w:rsidP="00A24CEF">
      <w:pPr>
        <w:rPr>
          <w:szCs w:val="22"/>
        </w:rPr>
      </w:pPr>
      <w:hyperlink r:id="rId75" w:anchor="40:14.0.1.1.1.5.143.25" w:history="1">
        <w:r w:rsidR="00A24CEF" w:rsidRPr="00A24CEF">
          <w:rPr>
            <w:color w:val="0000FF"/>
            <w:szCs w:val="22"/>
          </w:rPr>
          <w:t>§ 63.7565   </w:t>
        </w:r>
        <w:proofErr w:type="gramStart"/>
        <w:r w:rsidR="00A24CEF" w:rsidRPr="00A24CEF">
          <w:rPr>
            <w:color w:val="0000FF"/>
            <w:szCs w:val="22"/>
          </w:rPr>
          <w:t>What</w:t>
        </w:r>
        <w:proofErr w:type="gramEnd"/>
        <w:r w:rsidR="00A24CEF" w:rsidRPr="00A24CEF">
          <w:rPr>
            <w:color w:val="0000FF"/>
            <w:szCs w:val="22"/>
          </w:rPr>
          <w:t xml:space="preserve"> parts of the General Provisions apply to me?</w:t>
        </w:r>
      </w:hyperlink>
      <w:r w:rsidR="00A24CEF" w:rsidRPr="00A24CEF">
        <w:rPr>
          <w:szCs w:val="22"/>
        </w:rPr>
        <w:br/>
      </w:r>
      <w:hyperlink r:id="rId76" w:anchor="40:14.0.1.1.1.5.143.26" w:history="1">
        <w:r w:rsidR="00A24CEF" w:rsidRPr="00A24CEF">
          <w:rPr>
            <w:color w:val="0000FF"/>
            <w:szCs w:val="22"/>
          </w:rPr>
          <w:t>§ 63.7570   </w:t>
        </w:r>
        <w:proofErr w:type="gramStart"/>
        <w:r w:rsidR="00A24CEF" w:rsidRPr="00A24CEF">
          <w:rPr>
            <w:color w:val="0000FF"/>
            <w:szCs w:val="22"/>
          </w:rPr>
          <w:t>Who</w:t>
        </w:r>
        <w:proofErr w:type="gramEnd"/>
        <w:r w:rsidR="00A24CEF" w:rsidRPr="00A24CEF">
          <w:rPr>
            <w:color w:val="0000FF"/>
            <w:szCs w:val="22"/>
          </w:rPr>
          <w:t xml:space="preserve"> implements and enforces this subpart?</w:t>
        </w:r>
      </w:hyperlink>
      <w:r w:rsidR="00A24CEF" w:rsidRPr="00A24CEF">
        <w:rPr>
          <w:szCs w:val="22"/>
        </w:rPr>
        <w:br/>
      </w:r>
      <w:hyperlink r:id="rId77" w:anchor="40:14.0.1.1.1.5.143.27" w:history="1">
        <w:r w:rsidR="00A24CEF" w:rsidRPr="00A24CEF">
          <w:rPr>
            <w:color w:val="0000FF"/>
            <w:szCs w:val="22"/>
          </w:rPr>
          <w:t>§ 63.7575   </w:t>
        </w:r>
        <w:proofErr w:type="gramStart"/>
        <w:r w:rsidR="00A24CEF" w:rsidRPr="00A24CEF">
          <w:rPr>
            <w:color w:val="0000FF"/>
            <w:szCs w:val="22"/>
          </w:rPr>
          <w:t>What</w:t>
        </w:r>
        <w:proofErr w:type="gramEnd"/>
        <w:r w:rsidR="00A24CEF" w:rsidRPr="00A24CEF">
          <w:rPr>
            <w:color w:val="0000FF"/>
            <w:szCs w:val="22"/>
          </w:rPr>
          <w:t xml:space="preserve"> definitions apply to this subpart?</w:t>
        </w:r>
      </w:hyperlink>
      <w:r w:rsidR="00A24CEF" w:rsidRPr="00A24CEF">
        <w:rPr>
          <w:szCs w:val="22"/>
        </w:rPr>
        <w:br/>
      </w:r>
      <w:hyperlink r:id="rId78" w:anchor="40:14.0.1.1.1.5.144.28.25" w:history="1">
        <w:r w:rsidR="00A24CEF" w:rsidRPr="00A24CEF">
          <w:rPr>
            <w:color w:val="0000FF"/>
            <w:szCs w:val="22"/>
          </w:rPr>
          <w:t>Table 1 to Subpart DDDDD of Part 63—Emission Limits for New or Reconstructed Boilers and Process Heaters</w:t>
        </w:r>
      </w:hyperlink>
      <w:r w:rsidR="00A24CEF" w:rsidRPr="00A24CEF">
        <w:rPr>
          <w:szCs w:val="22"/>
        </w:rPr>
        <w:br/>
      </w:r>
      <w:hyperlink r:id="rId79" w:anchor="40:14.0.1.1.1.5.144.28.26" w:history="1">
        <w:r w:rsidR="00A24CEF" w:rsidRPr="00A24CEF">
          <w:rPr>
            <w:color w:val="0000FF"/>
            <w:szCs w:val="22"/>
          </w:rPr>
          <w:t>Table 2 to Subpart DDDDD of Part 63—Emission Limits for Existing Boilers and Process Heaters</w:t>
        </w:r>
      </w:hyperlink>
      <w:r w:rsidR="00A24CEF" w:rsidRPr="00A24CEF">
        <w:rPr>
          <w:szCs w:val="22"/>
        </w:rPr>
        <w:br/>
      </w:r>
      <w:hyperlink r:id="rId80" w:anchor="40:14.0.1.1.1.5.144.28.27" w:history="1">
        <w:r w:rsidR="00A24CEF" w:rsidRPr="00A24CEF">
          <w:rPr>
            <w:color w:val="0000FF"/>
            <w:szCs w:val="22"/>
          </w:rPr>
          <w:t>Table 3 to Subpart DDDDD of Part 63—Work Practice Standards</w:t>
        </w:r>
      </w:hyperlink>
      <w:r w:rsidR="00A24CEF" w:rsidRPr="00A24CEF">
        <w:rPr>
          <w:szCs w:val="22"/>
        </w:rPr>
        <w:br/>
      </w:r>
      <w:hyperlink r:id="rId81" w:anchor="40:14.0.1.1.1.5.144.28.28" w:history="1">
        <w:r w:rsidR="00A24CEF" w:rsidRPr="00A24CEF">
          <w:rPr>
            <w:color w:val="0000FF"/>
            <w:szCs w:val="22"/>
          </w:rPr>
          <w:t>Table 4 to Subpart DDDDD of Part 63—Operating Limits for Boilers and Process Heaters</w:t>
        </w:r>
      </w:hyperlink>
      <w:r w:rsidR="00A24CEF" w:rsidRPr="00A24CEF">
        <w:rPr>
          <w:szCs w:val="22"/>
        </w:rPr>
        <w:br/>
      </w:r>
      <w:hyperlink r:id="rId82" w:anchor="40:14.0.1.1.1.5.144.28.29" w:history="1">
        <w:r w:rsidR="00A24CEF" w:rsidRPr="00A24CEF">
          <w:rPr>
            <w:color w:val="0000FF"/>
            <w:szCs w:val="22"/>
          </w:rPr>
          <w:t>Table 5 to Subpart DDDDD of Part 63—Performance Testing Requirements</w:t>
        </w:r>
      </w:hyperlink>
      <w:r w:rsidR="00A24CEF" w:rsidRPr="00A24CEF">
        <w:rPr>
          <w:szCs w:val="22"/>
        </w:rPr>
        <w:br/>
      </w:r>
      <w:hyperlink r:id="rId83" w:anchor="40:14.0.1.1.1.5.144.28.30" w:history="1">
        <w:r w:rsidR="00A24CEF" w:rsidRPr="00A24CEF">
          <w:rPr>
            <w:color w:val="0000FF"/>
            <w:szCs w:val="22"/>
          </w:rPr>
          <w:t>Table 6 to Subpart DDDDD of Part 63—Fuel Analysis Requirements</w:t>
        </w:r>
      </w:hyperlink>
      <w:r w:rsidR="00A24CEF" w:rsidRPr="00A24CEF">
        <w:rPr>
          <w:szCs w:val="22"/>
        </w:rPr>
        <w:br/>
      </w:r>
      <w:hyperlink r:id="rId84" w:anchor="40:14.0.1.1.1.5.144.28.31" w:history="1">
        <w:r w:rsidR="00A24CEF" w:rsidRPr="00A24CEF">
          <w:rPr>
            <w:color w:val="0000FF"/>
            <w:szCs w:val="22"/>
          </w:rPr>
          <w:t>Table 7 to Subpart DDDDD of Part 63—Establishing Operating Limits</w:t>
        </w:r>
      </w:hyperlink>
      <w:r w:rsidR="00A24CEF" w:rsidRPr="00A24CEF">
        <w:rPr>
          <w:szCs w:val="22"/>
        </w:rPr>
        <w:br/>
      </w:r>
      <w:hyperlink r:id="rId85" w:anchor="40:14.0.1.1.1.5.144.28.32" w:history="1">
        <w:r w:rsidR="00A24CEF" w:rsidRPr="00A24CEF">
          <w:rPr>
            <w:color w:val="0000FF"/>
            <w:szCs w:val="22"/>
          </w:rPr>
          <w:t>Table 8 to Subpart DDDDD of Part 63—Demonstrating Continuous Compliance</w:t>
        </w:r>
      </w:hyperlink>
      <w:r w:rsidR="00A24CEF" w:rsidRPr="00A24CEF">
        <w:rPr>
          <w:szCs w:val="22"/>
        </w:rPr>
        <w:br/>
      </w:r>
      <w:hyperlink r:id="rId86" w:anchor="40:14.0.1.1.1.5.144.28.33" w:history="1">
        <w:r w:rsidR="00A24CEF" w:rsidRPr="00A24CEF">
          <w:rPr>
            <w:color w:val="0000FF"/>
            <w:szCs w:val="22"/>
          </w:rPr>
          <w:t>Table 9 to Subpart DDDDD of Part 63—Reporting Requirements</w:t>
        </w:r>
      </w:hyperlink>
      <w:r w:rsidR="00A24CEF" w:rsidRPr="00A24CEF">
        <w:rPr>
          <w:szCs w:val="22"/>
        </w:rPr>
        <w:br/>
      </w:r>
      <w:hyperlink r:id="rId87" w:anchor="40:14.0.1.1.1.5.144.28.34" w:history="1">
        <w:r w:rsidR="00A24CEF" w:rsidRPr="00A24CEF">
          <w:rPr>
            <w:color w:val="0000FF"/>
            <w:szCs w:val="22"/>
          </w:rPr>
          <w:t>Table 10 to Subpart DDDDD of Part 63—Applicability of General Provisions to Subpart DDDDD</w:t>
        </w:r>
      </w:hyperlink>
      <w:r w:rsidR="00A24CEF" w:rsidRPr="00A24CEF">
        <w:rPr>
          <w:szCs w:val="22"/>
        </w:rPr>
        <w:br/>
      </w:r>
      <w:hyperlink r:id="rId88" w:anchor="40:14.0.1.1.1.5.144.28.35" w:history="1">
        <w:r w:rsidR="00A24CEF" w:rsidRPr="00A24CEF">
          <w:rPr>
            <w:color w:val="0000FF"/>
            <w:szCs w:val="22"/>
          </w:rPr>
          <w:t>Table 11 to Subpart DDDDD of Part 63—Toxic Equivalency Factors for Dioxins/Furans</w:t>
        </w:r>
      </w:hyperlink>
      <w:r w:rsidR="00A24CEF" w:rsidRPr="00A24CEF">
        <w:rPr>
          <w:szCs w:val="22"/>
        </w:rPr>
        <w:br/>
      </w:r>
      <w:hyperlink r:id="rId89" w:anchor="40:14.0.1.1.1.5.144.28.36" w:history="1">
        <w:r w:rsidR="00A24CEF" w:rsidRPr="00A24CEF">
          <w:rPr>
            <w:color w:val="0000FF"/>
            <w:szCs w:val="22"/>
          </w:rPr>
          <w:t>Table 12 to Subpart DDDDD of Part 63—Alternative Emission Limits for New or Reconstructed Boilers and Process Heaters That Commenced Construction or Reconstruction After June 4, 2010, and Before May 20, 2011</w:t>
        </w:r>
      </w:hyperlink>
      <w:r w:rsidR="00A24CEF" w:rsidRPr="00A24CEF">
        <w:rPr>
          <w:szCs w:val="22"/>
        </w:rPr>
        <w:br/>
      </w:r>
      <w:hyperlink r:id="rId90" w:anchor="40:14.0.1.1.1.5.144.28.37" w:history="1">
        <w:r w:rsidR="00A24CEF" w:rsidRPr="00A24CEF">
          <w:rPr>
            <w:color w:val="0000FF"/>
            <w:szCs w:val="22"/>
          </w:rPr>
          <w:t>Table 13 to Subpart DDDDD of Part 63—Alternative Emission Limits for New or Reconstructed Boilers and Process Heaters That Commenced Construction or Reconstruction After December 23, 2011, and Before January 31, 2013</w:t>
        </w:r>
      </w:hyperlink>
    </w:p>
    <w:p w:rsidR="00A24CEF" w:rsidRPr="00A24CEF" w:rsidRDefault="00C754B0" w:rsidP="00A24CEF">
      <w:pPr>
        <w:rPr>
          <w:szCs w:val="22"/>
        </w:rPr>
      </w:pPr>
      <w:r w:rsidRPr="00C754B0">
        <w:rPr>
          <w:szCs w:val="22"/>
        </w:rPr>
        <w:pict>
          <v:rect id="_x0000_i1025" style="width:0;height:1.5pt" o:hrstd="t" o:hr="t" fillcolor="#a0a0a0" stroked="f"/>
        </w:pict>
      </w:r>
    </w:p>
    <w:p w:rsidR="006F3308" w:rsidRPr="00A24CEF" w:rsidRDefault="00A24CEF" w:rsidP="006F3308">
      <w:pPr>
        <w:spacing w:before="200" w:after="100" w:afterAutospacing="1"/>
        <w:ind w:firstLine="480"/>
        <w:rPr>
          <w:szCs w:val="22"/>
        </w:rPr>
      </w:pPr>
      <w:r w:rsidRPr="00A24CEF">
        <w:rPr>
          <w:smallCaps/>
          <w:szCs w:val="22"/>
        </w:rPr>
        <w:t>Source:</w:t>
      </w:r>
      <w:r w:rsidRPr="00A24CEF">
        <w:rPr>
          <w:szCs w:val="22"/>
        </w:rPr>
        <w:t xml:space="preserve"> 76 FR 15664, Mar. 21, 2011, unless otherwise noted. </w:t>
      </w:r>
    </w:p>
    <w:p w:rsidR="00613046" w:rsidRDefault="00613046" w:rsidP="000310CB">
      <w:pPr>
        <w:pStyle w:val="ListParagraph"/>
        <w:spacing w:after="120" w:line="240" w:lineRule="auto"/>
        <w:ind w:left="0"/>
        <w:rPr>
          <w:rFonts w:ascii="Times New Roman" w:hAnsi="Times New Roman"/>
        </w:rPr>
        <w:sectPr w:rsidR="00613046" w:rsidSect="00911769">
          <w:headerReference w:type="even" r:id="rId91"/>
          <w:headerReference w:type="default" r:id="rId92"/>
          <w:footerReference w:type="default" r:id="rId93"/>
          <w:headerReference w:type="first" r:id="rId94"/>
          <w:pgSz w:w="12240" w:h="15840" w:code="1"/>
          <w:pgMar w:top="720" w:right="1152" w:bottom="720" w:left="1152" w:header="720" w:footer="446" w:gutter="0"/>
          <w:paperSrc w:first="16640" w:other="16640"/>
          <w:pgNumType w:start="1"/>
          <w:cols w:space="720"/>
        </w:sectPr>
      </w:pPr>
    </w:p>
    <w:p w:rsidR="00055CCC" w:rsidRDefault="00055CCC" w:rsidP="00055CCC">
      <w:pPr>
        <w:spacing w:after="120"/>
        <w:rPr>
          <w:szCs w:val="22"/>
        </w:rPr>
      </w:pPr>
      <w:r w:rsidRPr="00C76C1C">
        <w:rPr>
          <w:bCs/>
          <w:i/>
          <w:szCs w:val="22"/>
        </w:rPr>
        <w:lastRenderedPageBreak/>
        <w:t xml:space="preserve">{Permitting Note:  This </w:t>
      </w:r>
      <w:r>
        <w:rPr>
          <w:bCs/>
          <w:i/>
          <w:szCs w:val="22"/>
        </w:rPr>
        <w:t xml:space="preserve">is the section (Section 5) of Appendix F of 40 CFR 75 including the F-Factor Table for fuels that deals with the calculation of the heat input rate to a steam generating boiler.  This procedure is utilized by boilers that fall under the Acid Rain program. </w:t>
      </w:r>
      <w:r w:rsidRPr="00C76C1C">
        <w:rPr>
          <w:bCs/>
          <w:i/>
          <w:szCs w:val="22"/>
        </w:rPr>
        <w:t xml:space="preserve"> To access the full version </w:t>
      </w:r>
      <w:r>
        <w:rPr>
          <w:bCs/>
          <w:i/>
          <w:szCs w:val="22"/>
        </w:rPr>
        <w:t>of 40 CFR 75, Appendix F</w:t>
      </w:r>
      <w:r w:rsidRPr="00C76C1C">
        <w:rPr>
          <w:bCs/>
          <w:i/>
          <w:szCs w:val="22"/>
        </w:rPr>
        <w:t>, follow the link at the end of this appendix.}</w:t>
      </w:r>
    </w:p>
    <w:p w:rsidR="006F3308" w:rsidRPr="006F3308" w:rsidRDefault="006F3308" w:rsidP="006F3308">
      <w:r w:rsidRPr="006F3308">
        <w:t>5.   Procedures for Heat Input</w:t>
      </w:r>
    </w:p>
    <w:p w:rsidR="006F3308" w:rsidRPr="006F3308" w:rsidRDefault="006F3308" w:rsidP="006F3308">
      <w:r w:rsidRPr="006F3308">
        <w:t xml:space="preserve">Use the following procedures to compute heat input rate to an affected unit (in </w:t>
      </w:r>
      <w:proofErr w:type="spellStart"/>
      <w:r w:rsidRPr="006F3308">
        <w:t>mmBtu</w:t>
      </w:r>
      <w:proofErr w:type="spellEnd"/>
      <w:r w:rsidRPr="006F3308">
        <w:t xml:space="preserve">/hr or </w:t>
      </w:r>
      <w:proofErr w:type="spellStart"/>
      <w:r w:rsidRPr="006F3308">
        <w:t>mmBtu</w:t>
      </w:r>
      <w:proofErr w:type="spellEnd"/>
      <w:r w:rsidRPr="006F3308">
        <w:t>/day):</w:t>
      </w:r>
    </w:p>
    <w:p w:rsidR="006F3308" w:rsidRPr="006F3308" w:rsidRDefault="006F3308" w:rsidP="006F3308">
      <w:r w:rsidRPr="006F3308">
        <w:t xml:space="preserve">5.1   Calculate and record heat input rate to an affected unit on an hourly basis, except as provided in sections 5.5 through 5.5.7. The owner or operator may choose to use the provisions specified in § 75.16(e) or in section 2.1.2 of appendix D to this part in conjunction with the procedures provided in sections 5.6 through 5.6.2 to apportion heat input among each unit using the common </w:t>
      </w:r>
      <w:proofErr w:type="spellStart"/>
      <w:r w:rsidRPr="006F3308">
        <w:t>stack</w:t>
      </w:r>
      <w:proofErr w:type="spellEnd"/>
      <w:r w:rsidRPr="006F3308">
        <w:t xml:space="preserve"> or common pipe header.</w:t>
      </w:r>
    </w:p>
    <w:p w:rsidR="006F3308" w:rsidRPr="006F3308" w:rsidRDefault="006F3308" w:rsidP="006F3308">
      <w:r w:rsidRPr="006F3308">
        <w:t>5.2   For an affected unit that has a flow monitor (or approved alternate monitoring system under subpart E of this part for measuring volumetric flow rate) and a diluent gas (O</w:t>
      </w:r>
      <w:r w:rsidRPr="006F3308">
        <w:rPr>
          <w:vertAlign w:val="subscript"/>
        </w:rPr>
        <w:t>2</w:t>
      </w:r>
      <w:r w:rsidRPr="006F3308">
        <w:t xml:space="preserve"> or CO</w:t>
      </w:r>
      <w:r w:rsidRPr="006F3308">
        <w:rPr>
          <w:vertAlign w:val="subscript"/>
        </w:rPr>
        <w:t>2</w:t>
      </w:r>
      <w:r w:rsidRPr="006F3308">
        <w:t xml:space="preserve">) monitor, use the recorded data from these monitors and one of the following equations to calculate hourly heat input rate (in </w:t>
      </w:r>
      <w:proofErr w:type="spellStart"/>
      <w:r w:rsidRPr="006F3308">
        <w:t>mmBtu</w:t>
      </w:r>
      <w:proofErr w:type="spellEnd"/>
      <w:r w:rsidRPr="006F3308">
        <w:t>/hr).</w:t>
      </w:r>
    </w:p>
    <w:p w:rsidR="006F3308" w:rsidRPr="006F3308" w:rsidRDefault="006F3308" w:rsidP="006F3308">
      <w:r w:rsidRPr="006F3308">
        <w:t>5.2.1   When measurements of CO</w:t>
      </w:r>
      <w:r w:rsidRPr="006F3308">
        <w:rPr>
          <w:vertAlign w:val="subscript"/>
        </w:rPr>
        <w:t>2</w:t>
      </w:r>
      <w:r w:rsidRPr="006F3308">
        <w:t xml:space="preserve"> concentration are on a wet basis, use the following equation:</w:t>
      </w:r>
    </w:p>
    <w:p w:rsidR="006F3308" w:rsidRPr="006F3308" w:rsidRDefault="006F3308" w:rsidP="006F3308">
      <w:r w:rsidRPr="006F3308">
        <w:rPr>
          <w:noProof/>
        </w:rPr>
        <w:drawing>
          <wp:inline distT="0" distB="0" distL="0" distR="0">
            <wp:extent cx="1689735" cy="324485"/>
            <wp:effectExtent l="19050" t="0" r="5715" b="0"/>
            <wp:docPr id="842" name="Picture 842" descr="eCFR graphic er26my99.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eCFR graphic er26my99.049.gif"/>
                    <pic:cNvPicPr>
                      <a:picLocks noChangeAspect="1" noChangeArrowheads="1"/>
                    </pic:cNvPicPr>
                  </pic:nvPicPr>
                  <pic:blipFill>
                    <a:blip r:embed="rId95" cstate="print"/>
                    <a:srcRect/>
                    <a:stretch>
                      <a:fillRect/>
                    </a:stretch>
                  </pic:blipFill>
                  <pic:spPr bwMode="auto">
                    <a:xfrm>
                      <a:off x="0" y="0"/>
                      <a:ext cx="1689735" cy="324485"/>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r w:rsidRPr="006F3308">
        <w:t xml:space="preserve">HI = Hourly heat input rate during unit operation, </w:t>
      </w:r>
      <w:proofErr w:type="spellStart"/>
      <w:r w:rsidRPr="006F3308">
        <w:t>mmBtu</w:t>
      </w:r>
      <w:proofErr w:type="spellEnd"/>
      <w:r w:rsidRPr="006F3308">
        <w:t>/hr.</w:t>
      </w:r>
    </w:p>
    <w:p w:rsidR="006F3308" w:rsidRPr="006F3308" w:rsidRDefault="006F3308" w:rsidP="006F3308">
      <w:proofErr w:type="spellStart"/>
      <w:r w:rsidRPr="006F3308">
        <w:t>Q</w:t>
      </w:r>
      <w:r w:rsidRPr="006F3308">
        <w:rPr>
          <w:vertAlign w:val="subscript"/>
        </w:rPr>
        <w:t>w</w:t>
      </w:r>
      <w:proofErr w:type="spellEnd"/>
      <w:r w:rsidRPr="006F3308">
        <w:t xml:space="preserve"> = Hourly average volumetric flow rate during unit operation, wet basis, </w:t>
      </w:r>
      <w:proofErr w:type="spellStart"/>
      <w:r w:rsidRPr="006F3308">
        <w:t>scfh</w:t>
      </w:r>
      <w:proofErr w:type="spellEnd"/>
      <w:r w:rsidRPr="006F3308">
        <w:t>.</w:t>
      </w:r>
    </w:p>
    <w:p w:rsidR="006F3308" w:rsidRPr="006F3308" w:rsidRDefault="006F3308" w:rsidP="006F3308">
      <w:proofErr w:type="spellStart"/>
      <w:r w:rsidRPr="006F3308">
        <w:t>F</w:t>
      </w:r>
      <w:r w:rsidRPr="006F3308">
        <w:rPr>
          <w:vertAlign w:val="subscript"/>
        </w:rPr>
        <w:t>c</w:t>
      </w:r>
      <w:proofErr w:type="spellEnd"/>
      <w:r w:rsidRPr="006F3308">
        <w:t xml:space="preserve"> = Carbon-based F-factor, listed in section 3.3.5 of this appendix for each fuel, </w:t>
      </w:r>
      <w:proofErr w:type="spellStart"/>
      <w:r w:rsidRPr="006F3308">
        <w:t>scf</w:t>
      </w:r>
      <w:proofErr w:type="spellEnd"/>
      <w:r w:rsidRPr="006F3308">
        <w:t>/</w:t>
      </w:r>
      <w:proofErr w:type="spellStart"/>
      <w:r w:rsidRPr="006F3308">
        <w:t>mmBtu</w:t>
      </w:r>
      <w:proofErr w:type="spellEnd"/>
      <w:r w:rsidRPr="006F3308">
        <w:t>.</w:t>
      </w:r>
    </w:p>
    <w:p w:rsidR="006F3308" w:rsidRPr="006F3308" w:rsidRDefault="006F3308" w:rsidP="006F3308">
      <w:r w:rsidRPr="006F3308">
        <w:t>%CO</w:t>
      </w:r>
      <w:r w:rsidRPr="006F3308">
        <w:rPr>
          <w:vertAlign w:val="subscript"/>
        </w:rPr>
        <w:t>2w</w:t>
      </w:r>
      <w:r w:rsidRPr="006F3308">
        <w:t xml:space="preserve"> = Hourly concentration of CO</w:t>
      </w:r>
      <w:r w:rsidRPr="006F3308">
        <w:rPr>
          <w:vertAlign w:val="subscript"/>
        </w:rPr>
        <w:t>2</w:t>
      </w:r>
      <w:r w:rsidRPr="006F3308">
        <w:t xml:space="preserve"> during unit operation, percent CO</w:t>
      </w:r>
      <w:r w:rsidRPr="006F3308">
        <w:rPr>
          <w:vertAlign w:val="subscript"/>
        </w:rPr>
        <w:t>2</w:t>
      </w:r>
      <w:r w:rsidRPr="006F3308">
        <w:t xml:space="preserve"> wet basis.</w:t>
      </w:r>
    </w:p>
    <w:p w:rsidR="006F3308" w:rsidRPr="006F3308" w:rsidRDefault="006F3308" w:rsidP="006F3308">
      <w:r w:rsidRPr="006F3308">
        <w:t>5.2.2   When measurements of CO</w:t>
      </w:r>
      <w:r w:rsidRPr="006F3308">
        <w:rPr>
          <w:vertAlign w:val="subscript"/>
        </w:rPr>
        <w:t>2</w:t>
      </w:r>
      <w:r w:rsidRPr="006F3308">
        <w:t xml:space="preserve"> concentration are on a dry basis, use the following equation:</w:t>
      </w:r>
    </w:p>
    <w:p w:rsidR="006F3308" w:rsidRPr="006F3308" w:rsidRDefault="006F3308" w:rsidP="006F3308">
      <w:r w:rsidRPr="006F3308">
        <w:rPr>
          <w:noProof/>
        </w:rPr>
        <w:drawing>
          <wp:inline distT="0" distB="0" distL="0" distR="0">
            <wp:extent cx="2359025" cy="364490"/>
            <wp:effectExtent l="19050" t="0" r="3175" b="0"/>
            <wp:docPr id="843" name="Picture 843" descr="eCFR graphic er26my99.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eCFR graphic er26my99.051.gif"/>
                    <pic:cNvPicPr>
                      <a:picLocks noChangeAspect="1" noChangeArrowheads="1"/>
                    </pic:cNvPicPr>
                  </pic:nvPicPr>
                  <pic:blipFill>
                    <a:blip r:embed="rId96" cstate="print"/>
                    <a:srcRect/>
                    <a:stretch>
                      <a:fillRect/>
                    </a:stretch>
                  </pic:blipFill>
                  <pic:spPr bwMode="auto">
                    <a:xfrm>
                      <a:off x="0" y="0"/>
                      <a:ext cx="2359025" cy="364490"/>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r w:rsidRPr="006F3308">
        <w:t xml:space="preserve">HI = Hourly heat input rate during unit operation, </w:t>
      </w:r>
      <w:proofErr w:type="spellStart"/>
      <w:r w:rsidRPr="006F3308">
        <w:t>mmBtu</w:t>
      </w:r>
      <w:proofErr w:type="spellEnd"/>
      <w:r w:rsidRPr="006F3308">
        <w:t>/hr.</w:t>
      </w:r>
    </w:p>
    <w:p w:rsidR="006F3308" w:rsidRPr="006F3308" w:rsidRDefault="006F3308" w:rsidP="006F3308">
      <w:proofErr w:type="spellStart"/>
      <w:r w:rsidRPr="006F3308">
        <w:t>Q</w:t>
      </w:r>
      <w:r w:rsidRPr="006F3308">
        <w:rPr>
          <w:vertAlign w:val="subscript"/>
        </w:rPr>
        <w:t>h</w:t>
      </w:r>
      <w:proofErr w:type="spellEnd"/>
      <w:r w:rsidRPr="006F3308">
        <w:t xml:space="preserve"> = Hourly average volumetric flow rate during unit operation, wet basis, </w:t>
      </w:r>
      <w:proofErr w:type="spellStart"/>
      <w:r w:rsidRPr="006F3308">
        <w:t>scfh</w:t>
      </w:r>
      <w:proofErr w:type="spellEnd"/>
      <w:r w:rsidRPr="006F3308">
        <w:t>.</w:t>
      </w:r>
    </w:p>
    <w:p w:rsidR="006F3308" w:rsidRPr="006F3308" w:rsidRDefault="006F3308" w:rsidP="006F3308">
      <w:proofErr w:type="spellStart"/>
      <w:r w:rsidRPr="006F3308">
        <w:t>F</w:t>
      </w:r>
      <w:r w:rsidRPr="006F3308">
        <w:rPr>
          <w:vertAlign w:val="subscript"/>
        </w:rPr>
        <w:t>c</w:t>
      </w:r>
      <w:proofErr w:type="spellEnd"/>
      <w:r w:rsidRPr="006F3308">
        <w:t xml:space="preserve"> = Carbon-based F-Factor, listed in section 3.3.5 of this appendix for each fuel, </w:t>
      </w:r>
      <w:proofErr w:type="spellStart"/>
      <w:r w:rsidRPr="006F3308">
        <w:t>scf</w:t>
      </w:r>
      <w:proofErr w:type="spellEnd"/>
      <w:r w:rsidRPr="006F3308">
        <w:t>/</w:t>
      </w:r>
      <w:proofErr w:type="spellStart"/>
      <w:r w:rsidRPr="006F3308">
        <w:t>mmBtu</w:t>
      </w:r>
      <w:proofErr w:type="spellEnd"/>
      <w:r w:rsidRPr="006F3308">
        <w:t>.</w:t>
      </w:r>
    </w:p>
    <w:p w:rsidR="006F3308" w:rsidRPr="006F3308" w:rsidRDefault="006F3308" w:rsidP="006F3308">
      <w:r w:rsidRPr="006F3308">
        <w:t>%CO</w:t>
      </w:r>
      <w:r w:rsidRPr="006F3308">
        <w:rPr>
          <w:vertAlign w:val="subscript"/>
        </w:rPr>
        <w:t>2d</w:t>
      </w:r>
      <w:r w:rsidRPr="006F3308">
        <w:t xml:space="preserve"> = Hourly concentration of CO</w:t>
      </w:r>
      <w:r w:rsidRPr="006F3308">
        <w:rPr>
          <w:vertAlign w:val="subscript"/>
        </w:rPr>
        <w:t>2</w:t>
      </w:r>
      <w:r w:rsidRPr="006F3308">
        <w:t xml:space="preserve"> during unit operation, percent CO</w:t>
      </w:r>
      <w:r w:rsidRPr="006F3308">
        <w:rPr>
          <w:vertAlign w:val="subscript"/>
        </w:rPr>
        <w:t>2</w:t>
      </w:r>
      <w:r w:rsidRPr="006F3308">
        <w:t xml:space="preserve"> dry basis.</w:t>
      </w:r>
    </w:p>
    <w:p w:rsidR="006F3308" w:rsidRPr="006F3308" w:rsidRDefault="006F3308" w:rsidP="006F3308">
      <w:r w:rsidRPr="006F3308">
        <w:t>%H</w:t>
      </w:r>
      <w:r w:rsidRPr="006F3308">
        <w:rPr>
          <w:vertAlign w:val="subscript"/>
        </w:rPr>
        <w:t>2</w:t>
      </w:r>
      <w:r w:rsidRPr="006F3308">
        <w:t xml:space="preserve"> O = Moisture content of gas in the stack, percent.</w:t>
      </w:r>
    </w:p>
    <w:p w:rsidR="006F3308" w:rsidRPr="006F3308" w:rsidRDefault="006F3308" w:rsidP="006F3308">
      <w:r w:rsidRPr="006F3308">
        <w:t>5.2.3   When measurements of O</w:t>
      </w:r>
      <w:r w:rsidRPr="006F3308">
        <w:rPr>
          <w:vertAlign w:val="subscript"/>
        </w:rPr>
        <w:t>2</w:t>
      </w:r>
      <w:r w:rsidRPr="006F3308">
        <w:t xml:space="preserve"> concentration are on a wet basis, use the following equation:</w:t>
      </w:r>
    </w:p>
    <w:p w:rsidR="006F3308" w:rsidRPr="006F3308" w:rsidRDefault="006F3308" w:rsidP="006F3308">
      <w:r w:rsidRPr="006F3308">
        <w:rPr>
          <w:noProof/>
        </w:rPr>
        <w:drawing>
          <wp:inline distT="0" distB="0" distL="0" distR="0">
            <wp:extent cx="2922270" cy="337820"/>
            <wp:effectExtent l="19050" t="0" r="0" b="0"/>
            <wp:docPr id="844" name="Picture 844" descr="eCFR graphic er26my99.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eCFR graphic er26my99.052.gif"/>
                    <pic:cNvPicPr>
                      <a:picLocks noChangeAspect="1" noChangeArrowheads="1"/>
                    </pic:cNvPicPr>
                  </pic:nvPicPr>
                  <pic:blipFill>
                    <a:blip r:embed="rId97" cstate="print"/>
                    <a:srcRect/>
                    <a:stretch>
                      <a:fillRect/>
                    </a:stretch>
                  </pic:blipFill>
                  <pic:spPr bwMode="auto">
                    <a:xfrm>
                      <a:off x="0" y="0"/>
                      <a:ext cx="2922270" cy="337820"/>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r w:rsidRPr="006F3308">
        <w:t xml:space="preserve">HI = Hourly heat input rate during unit operation, </w:t>
      </w:r>
      <w:proofErr w:type="spellStart"/>
      <w:r w:rsidRPr="006F3308">
        <w:t>mmBtu</w:t>
      </w:r>
      <w:proofErr w:type="spellEnd"/>
      <w:r w:rsidRPr="006F3308">
        <w:t>/hr.</w:t>
      </w:r>
    </w:p>
    <w:p w:rsidR="006F3308" w:rsidRPr="006F3308" w:rsidRDefault="006F3308" w:rsidP="006F3308">
      <w:proofErr w:type="spellStart"/>
      <w:r w:rsidRPr="006F3308">
        <w:t>Q</w:t>
      </w:r>
      <w:r w:rsidRPr="006F3308">
        <w:rPr>
          <w:vertAlign w:val="subscript"/>
        </w:rPr>
        <w:t>w</w:t>
      </w:r>
      <w:proofErr w:type="spellEnd"/>
      <w:r w:rsidRPr="006F3308">
        <w:t xml:space="preserve"> = Hourly average volumetric flow rate during unit operation, wet basis, </w:t>
      </w:r>
      <w:proofErr w:type="spellStart"/>
      <w:r w:rsidRPr="006F3308">
        <w:t>scfh</w:t>
      </w:r>
      <w:proofErr w:type="spellEnd"/>
      <w:r w:rsidRPr="006F3308">
        <w:t>.</w:t>
      </w:r>
    </w:p>
    <w:p w:rsidR="006F3308" w:rsidRPr="006F3308" w:rsidRDefault="006F3308" w:rsidP="006F3308">
      <w:r w:rsidRPr="006F3308">
        <w:t xml:space="preserve">F = Dry basis F-factor, listed in section 3.3.5 of this appendix for each fuel, </w:t>
      </w:r>
      <w:proofErr w:type="spellStart"/>
      <w:r w:rsidRPr="006F3308">
        <w:t>dscf</w:t>
      </w:r>
      <w:proofErr w:type="spellEnd"/>
      <w:r w:rsidRPr="006F3308">
        <w:t>/</w:t>
      </w:r>
      <w:proofErr w:type="spellStart"/>
      <w:r w:rsidRPr="006F3308">
        <w:t>mmBtu</w:t>
      </w:r>
      <w:proofErr w:type="spellEnd"/>
      <w:r w:rsidRPr="006F3308">
        <w:t>.</w:t>
      </w:r>
    </w:p>
    <w:p w:rsidR="006F3308" w:rsidRPr="006F3308" w:rsidRDefault="006F3308" w:rsidP="006F3308">
      <w:r w:rsidRPr="006F3308">
        <w:t>%O</w:t>
      </w:r>
      <w:r w:rsidRPr="006F3308">
        <w:rPr>
          <w:vertAlign w:val="subscript"/>
        </w:rPr>
        <w:t>2w</w:t>
      </w:r>
      <w:r w:rsidRPr="006F3308">
        <w:t xml:space="preserve"> = Hourly concentration of O</w:t>
      </w:r>
      <w:r w:rsidRPr="006F3308">
        <w:rPr>
          <w:vertAlign w:val="subscript"/>
        </w:rPr>
        <w:t>2</w:t>
      </w:r>
      <w:r w:rsidRPr="006F3308">
        <w:t xml:space="preserve"> during unit operation, percent O</w:t>
      </w:r>
      <w:r w:rsidRPr="006F3308">
        <w:rPr>
          <w:vertAlign w:val="subscript"/>
        </w:rPr>
        <w:t>2</w:t>
      </w:r>
      <w:r w:rsidRPr="006F3308">
        <w:t xml:space="preserve"> wet basis. For any operating hour where Equation F-17 results in an hourly heat input rate that is ≤ 0.0 </w:t>
      </w:r>
      <w:proofErr w:type="spellStart"/>
      <w:r w:rsidRPr="006F3308">
        <w:t>mmBtu</w:t>
      </w:r>
      <w:proofErr w:type="spellEnd"/>
      <w:r w:rsidRPr="006F3308">
        <w:t xml:space="preserve">/hr, 1.0 </w:t>
      </w:r>
      <w:proofErr w:type="spellStart"/>
      <w:r w:rsidRPr="006F3308">
        <w:t>mmBtu</w:t>
      </w:r>
      <w:proofErr w:type="spellEnd"/>
      <w:r w:rsidRPr="006F3308">
        <w:t>/hr shall be recorded and reported as the heat input rate for that hour.</w:t>
      </w:r>
    </w:p>
    <w:p w:rsidR="006F3308" w:rsidRPr="006F3308" w:rsidRDefault="006F3308" w:rsidP="006F3308">
      <w:r w:rsidRPr="006F3308">
        <w:t>%H</w:t>
      </w:r>
      <w:r w:rsidRPr="006F3308">
        <w:rPr>
          <w:vertAlign w:val="subscript"/>
        </w:rPr>
        <w:t>2</w:t>
      </w:r>
      <w:r w:rsidRPr="006F3308">
        <w:t xml:space="preserve"> O = Hourly average stack moisture content, percent by volume.</w:t>
      </w:r>
    </w:p>
    <w:p w:rsidR="006F3308" w:rsidRPr="006F3308" w:rsidRDefault="006F3308" w:rsidP="006F3308">
      <w:r w:rsidRPr="006F3308">
        <w:t>5.2.4   When measurements of O</w:t>
      </w:r>
      <w:r w:rsidRPr="006F3308">
        <w:rPr>
          <w:vertAlign w:val="subscript"/>
        </w:rPr>
        <w:t>2</w:t>
      </w:r>
      <w:r w:rsidRPr="006F3308">
        <w:t xml:space="preserve"> concentration are on a dry basis, use the following equation:</w:t>
      </w:r>
    </w:p>
    <w:p w:rsidR="006F3308" w:rsidRPr="006F3308" w:rsidRDefault="006F3308" w:rsidP="006F3308">
      <w:r w:rsidRPr="006F3308">
        <w:rPr>
          <w:noProof/>
        </w:rPr>
        <w:drawing>
          <wp:inline distT="0" distB="0" distL="0" distR="0">
            <wp:extent cx="2683510" cy="364490"/>
            <wp:effectExtent l="19050" t="0" r="2540" b="0"/>
            <wp:docPr id="845" name="Picture 845" descr="eCFR graphic er26my99.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descr="eCFR graphic er26my99.053.gif"/>
                    <pic:cNvPicPr>
                      <a:picLocks noChangeAspect="1" noChangeArrowheads="1"/>
                    </pic:cNvPicPr>
                  </pic:nvPicPr>
                  <pic:blipFill>
                    <a:blip r:embed="rId98" cstate="print"/>
                    <a:srcRect/>
                    <a:stretch>
                      <a:fillRect/>
                    </a:stretch>
                  </pic:blipFill>
                  <pic:spPr bwMode="auto">
                    <a:xfrm>
                      <a:off x="0" y="0"/>
                      <a:ext cx="2683510" cy="364490"/>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r w:rsidRPr="006F3308">
        <w:t xml:space="preserve">HI = Hourly heat input rate during unit operation, </w:t>
      </w:r>
      <w:proofErr w:type="spellStart"/>
      <w:r w:rsidRPr="006F3308">
        <w:t>mmBtu</w:t>
      </w:r>
      <w:proofErr w:type="spellEnd"/>
      <w:r w:rsidRPr="006F3308">
        <w:t>/hr.</w:t>
      </w:r>
    </w:p>
    <w:p w:rsidR="006F3308" w:rsidRPr="006F3308" w:rsidRDefault="006F3308" w:rsidP="006F3308">
      <w:proofErr w:type="spellStart"/>
      <w:r w:rsidRPr="006F3308">
        <w:t>Q</w:t>
      </w:r>
      <w:r w:rsidRPr="006F3308">
        <w:rPr>
          <w:vertAlign w:val="subscript"/>
        </w:rPr>
        <w:t>w</w:t>
      </w:r>
      <w:proofErr w:type="spellEnd"/>
      <w:r w:rsidRPr="006F3308">
        <w:t xml:space="preserve"> = Hourly average volumetric flow during unit operation, wet basis, </w:t>
      </w:r>
      <w:proofErr w:type="spellStart"/>
      <w:r w:rsidRPr="006F3308">
        <w:t>scfh</w:t>
      </w:r>
      <w:proofErr w:type="spellEnd"/>
      <w:r w:rsidRPr="006F3308">
        <w:t>.</w:t>
      </w:r>
    </w:p>
    <w:p w:rsidR="006F3308" w:rsidRPr="006F3308" w:rsidRDefault="006F3308" w:rsidP="006F3308">
      <w:r w:rsidRPr="006F3308">
        <w:t xml:space="preserve">F = Dry basis F-factor, listed in section 3.3.5 of this appendix for each fuel, </w:t>
      </w:r>
      <w:proofErr w:type="spellStart"/>
      <w:r w:rsidRPr="006F3308">
        <w:t>dscf</w:t>
      </w:r>
      <w:proofErr w:type="spellEnd"/>
      <w:r w:rsidRPr="006F3308">
        <w:t>/</w:t>
      </w:r>
      <w:proofErr w:type="spellStart"/>
      <w:r w:rsidRPr="006F3308">
        <w:t>mmBtu</w:t>
      </w:r>
      <w:proofErr w:type="spellEnd"/>
      <w:r w:rsidRPr="006F3308">
        <w:t>.</w:t>
      </w:r>
    </w:p>
    <w:p w:rsidR="006F3308" w:rsidRPr="006F3308" w:rsidRDefault="006F3308" w:rsidP="006F3308">
      <w:r w:rsidRPr="006F3308">
        <w:t>%H</w:t>
      </w:r>
      <w:r w:rsidRPr="006F3308">
        <w:rPr>
          <w:vertAlign w:val="subscript"/>
        </w:rPr>
        <w:t>2</w:t>
      </w:r>
      <w:r w:rsidRPr="006F3308">
        <w:t xml:space="preserve"> O = Moisture content of the stack gas, percent.</w:t>
      </w:r>
    </w:p>
    <w:p w:rsidR="006F3308" w:rsidRPr="006F3308" w:rsidRDefault="006F3308" w:rsidP="006F3308">
      <w:r w:rsidRPr="006F3308">
        <w:lastRenderedPageBreak/>
        <w:t>%O</w:t>
      </w:r>
      <w:r w:rsidRPr="006F3308">
        <w:rPr>
          <w:vertAlign w:val="subscript"/>
        </w:rPr>
        <w:t>2d</w:t>
      </w:r>
      <w:r w:rsidRPr="006F3308">
        <w:t xml:space="preserve"> = Hourly concentration of O</w:t>
      </w:r>
      <w:r w:rsidRPr="006F3308">
        <w:rPr>
          <w:vertAlign w:val="subscript"/>
        </w:rPr>
        <w:t>2</w:t>
      </w:r>
      <w:r w:rsidRPr="006F3308">
        <w:t xml:space="preserve"> during unit operation, percent O</w:t>
      </w:r>
      <w:r w:rsidRPr="006F3308">
        <w:rPr>
          <w:vertAlign w:val="subscript"/>
        </w:rPr>
        <w:t>2</w:t>
      </w:r>
      <w:r w:rsidRPr="006F3308">
        <w:t xml:space="preserve"> dry basis.</w:t>
      </w:r>
    </w:p>
    <w:p w:rsidR="006F3308" w:rsidRPr="006F3308" w:rsidRDefault="006F3308" w:rsidP="006F3308">
      <w:pPr>
        <w:rPr>
          <w:i/>
          <w:iCs/>
        </w:rPr>
      </w:pPr>
      <w:r w:rsidRPr="006F3308">
        <w:rPr>
          <w:i/>
          <w:iCs/>
        </w:rPr>
        <w:t>5.3   Heat Input Summation (for Heat Input Determined Using a Flow Monitor and Diluent Monitor)</w:t>
      </w:r>
    </w:p>
    <w:p w:rsidR="006F3308" w:rsidRPr="006F3308" w:rsidRDefault="006F3308" w:rsidP="006F3308">
      <w:r w:rsidRPr="006F3308">
        <w:t>5.3.1 Calculate total quarterly heat input for a unit or common stack using a flow monitor and diluent monitor to calculate heat input, using the following equation:</w:t>
      </w:r>
    </w:p>
    <w:p w:rsidR="006F3308" w:rsidRPr="006F3308" w:rsidRDefault="006F3308" w:rsidP="006F3308">
      <w:r w:rsidRPr="006F3308">
        <w:rPr>
          <w:noProof/>
        </w:rPr>
        <w:drawing>
          <wp:inline distT="0" distB="0" distL="0" distR="0">
            <wp:extent cx="1497330" cy="324485"/>
            <wp:effectExtent l="19050" t="0" r="7620" b="0"/>
            <wp:docPr id="846" name="Picture 846" descr="eCFR graphic er26my99.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descr="eCFR graphic er26my99.054.gif"/>
                    <pic:cNvPicPr>
                      <a:picLocks noChangeAspect="1" noChangeArrowheads="1"/>
                    </pic:cNvPicPr>
                  </pic:nvPicPr>
                  <pic:blipFill>
                    <a:blip r:embed="rId99" cstate="print"/>
                    <a:srcRect/>
                    <a:stretch>
                      <a:fillRect/>
                    </a:stretch>
                  </pic:blipFill>
                  <pic:spPr bwMode="auto">
                    <a:xfrm>
                      <a:off x="0" y="0"/>
                      <a:ext cx="1497330" cy="324485"/>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proofErr w:type="spellStart"/>
      <w:r w:rsidRPr="006F3308">
        <w:t>HI</w:t>
      </w:r>
      <w:r w:rsidRPr="006F3308">
        <w:rPr>
          <w:vertAlign w:val="subscript"/>
        </w:rPr>
        <w:t>q</w:t>
      </w:r>
      <w:proofErr w:type="spellEnd"/>
      <w:r w:rsidRPr="006F3308">
        <w:t xml:space="preserve"> = Total heat input for the quarter, </w:t>
      </w:r>
      <w:proofErr w:type="spellStart"/>
      <w:r w:rsidRPr="006F3308">
        <w:t>mmBtu</w:t>
      </w:r>
      <w:proofErr w:type="spellEnd"/>
      <w:r w:rsidRPr="006F3308">
        <w:t>.</w:t>
      </w:r>
    </w:p>
    <w:p w:rsidR="006F3308" w:rsidRPr="006F3308" w:rsidRDefault="006F3308" w:rsidP="006F3308">
      <w:proofErr w:type="spellStart"/>
      <w:r w:rsidRPr="006F3308">
        <w:t>HI</w:t>
      </w:r>
      <w:r w:rsidRPr="006F3308">
        <w:rPr>
          <w:vertAlign w:val="subscript"/>
        </w:rPr>
        <w:t>i</w:t>
      </w:r>
      <w:proofErr w:type="spellEnd"/>
      <w:r w:rsidRPr="006F3308">
        <w:t xml:space="preserve"> = Hourly heat input rate during unit operation, using Equation F-15, F-16, F-17, or F-18, </w:t>
      </w:r>
      <w:proofErr w:type="spellStart"/>
      <w:r w:rsidRPr="006F3308">
        <w:t>mmBtu</w:t>
      </w:r>
      <w:proofErr w:type="spellEnd"/>
      <w:r w:rsidRPr="006F3308">
        <w:t>/hr.</w:t>
      </w:r>
    </w:p>
    <w:p w:rsidR="006F3308" w:rsidRPr="006F3308" w:rsidRDefault="006F3308" w:rsidP="006F3308">
      <w:proofErr w:type="spellStart"/>
      <w:proofErr w:type="gramStart"/>
      <w:r w:rsidRPr="006F3308">
        <w:t>t</w:t>
      </w:r>
      <w:r w:rsidRPr="006F3308">
        <w:rPr>
          <w:vertAlign w:val="subscript"/>
        </w:rPr>
        <w:t>i</w:t>
      </w:r>
      <w:proofErr w:type="spellEnd"/>
      <w:proofErr w:type="gramEnd"/>
      <w:r w:rsidRPr="006F3308">
        <w:t xml:space="preserve"> = Hourly operating time for the unit or common stack, hour or fraction of an hour (in equal increments that can range from one hundredth to one quarter of an hour, at the option of the owner or operator).</w:t>
      </w:r>
    </w:p>
    <w:p w:rsidR="006F3308" w:rsidRPr="006F3308" w:rsidRDefault="006F3308" w:rsidP="006F3308">
      <w:r w:rsidRPr="006F3308">
        <w:t>5.3.2   Calculate total cumulative heat input for a unit or common stack using a flow monitor and diluent monitor to calculate heat input, using the following equation:</w:t>
      </w:r>
    </w:p>
    <w:p w:rsidR="006F3308" w:rsidRPr="006F3308" w:rsidRDefault="006F3308" w:rsidP="006F3308">
      <w:r w:rsidRPr="006F3308">
        <w:rPr>
          <w:noProof/>
        </w:rPr>
        <w:drawing>
          <wp:inline distT="0" distB="0" distL="0" distR="0">
            <wp:extent cx="1755775" cy="337820"/>
            <wp:effectExtent l="19050" t="0" r="0" b="0"/>
            <wp:docPr id="847" name="Picture 847" descr="eCFR graphic er26my99.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eCFR graphic er26my99.055.gif"/>
                    <pic:cNvPicPr>
                      <a:picLocks noChangeAspect="1" noChangeArrowheads="1"/>
                    </pic:cNvPicPr>
                  </pic:nvPicPr>
                  <pic:blipFill>
                    <a:blip r:embed="rId100" cstate="print"/>
                    <a:srcRect/>
                    <a:stretch>
                      <a:fillRect/>
                    </a:stretch>
                  </pic:blipFill>
                  <pic:spPr bwMode="auto">
                    <a:xfrm>
                      <a:off x="0" y="0"/>
                      <a:ext cx="1755775" cy="337820"/>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proofErr w:type="spellStart"/>
      <w:r w:rsidRPr="006F3308">
        <w:t>HI</w:t>
      </w:r>
      <w:r w:rsidRPr="006F3308">
        <w:rPr>
          <w:vertAlign w:val="subscript"/>
        </w:rPr>
        <w:t>c</w:t>
      </w:r>
      <w:proofErr w:type="spellEnd"/>
      <w:r w:rsidRPr="006F3308">
        <w:t xml:space="preserve"> = Total heat input for the year to date, </w:t>
      </w:r>
      <w:proofErr w:type="spellStart"/>
      <w:r w:rsidRPr="006F3308">
        <w:t>mmBtu</w:t>
      </w:r>
      <w:proofErr w:type="spellEnd"/>
      <w:r w:rsidRPr="006F3308">
        <w:t>.</w:t>
      </w:r>
    </w:p>
    <w:p w:rsidR="006F3308" w:rsidRPr="006F3308" w:rsidRDefault="006F3308" w:rsidP="006F3308">
      <w:proofErr w:type="spellStart"/>
      <w:r w:rsidRPr="006F3308">
        <w:t>HI</w:t>
      </w:r>
      <w:r w:rsidRPr="006F3308">
        <w:rPr>
          <w:vertAlign w:val="subscript"/>
        </w:rPr>
        <w:t>q</w:t>
      </w:r>
      <w:proofErr w:type="spellEnd"/>
      <w:r w:rsidRPr="006F3308">
        <w:t xml:space="preserve"> = Total heat input for the quarter, </w:t>
      </w:r>
      <w:proofErr w:type="spellStart"/>
      <w:r w:rsidRPr="006F3308">
        <w:t>mmBtu</w:t>
      </w:r>
      <w:proofErr w:type="spellEnd"/>
      <w:r w:rsidRPr="006F3308">
        <w:t>.</w:t>
      </w:r>
    </w:p>
    <w:p w:rsidR="006F3308" w:rsidRPr="006F3308" w:rsidRDefault="006F3308" w:rsidP="006F3308">
      <w:pPr>
        <w:rPr>
          <w:i/>
          <w:iCs/>
        </w:rPr>
      </w:pPr>
      <w:r w:rsidRPr="006F3308">
        <w:rPr>
          <w:i/>
          <w:iCs/>
        </w:rPr>
        <w:t>5.4 [Reserved]</w:t>
      </w:r>
    </w:p>
    <w:p w:rsidR="006F3308" w:rsidRPr="006F3308" w:rsidRDefault="006F3308" w:rsidP="006F3308">
      <w:r w:rsidRPr="006F3308">
        <w:t>5.5   For a gas-fired or oil-fired unit that does not have a flow monitor and is using the procedures specified in appendix D to this part to monitor SO</w:t>
      </w:r>
      <w:r w:rsidRPr="006F3308">
        <w:rPr>
          <w:vertAlign w:val="subscript"/>
        </w:rPr>
        <w:t>2</w:t>
      </w:r>
      <w:r w:rsidRPr="006F3308">
        <w:t xml:space="preserve"> emissions or for any unit using a common stack for which the owner or operator chooses to determine heat input by fuel sampling and analysis, use the following procedures to calculate hourly heat input rate in </w:t>
      </w:r>
      <w:proofErr w:type="spellStart"/>
      <w:r w:rsidRPr="006F3308">
        <w:t>mmBtu</w:t>
      </w:r>
      <w:proofErr w:type="spellEnd"/>
      <w:r w:rsidRPr="006F3308">
        <w:t>/hr. The procedures of section 5.5.3 of this appendix shall not be used to determine heat input from a coal unit that is required to comply with the provisions of this part for monitoring, recording, and reporting NO</w:t>
      </w:r>
      <w:r w:rsidRPr="006F3308">
        <w:rPr>
          <w:vertAlign w:val="subscript"/>
        </w:rPr>
        <w:t>X</w:t>
      </w:r>
      <w:r w:rsidRPr="006F3308">
        <w:t xml:space="preserve"> mass emissions under a State or federal NO</w:t>
      </w:r>
      <w:r w:rsidRPr="006F3308">
        <w:rPr>
          <w:vertAlign w:val="subscript"/>
        </w:rPr>
        <w:t>X</w:t>
      </w:r>
      <w:r w:rsidRPr="006F3308">
        <w:t xml:space="preserve"> mass emission reduction program.</w:t>
      </w:r>
    </w:p>
    <w:p w:rsidR="006F3308" w:rsidRPr="006F3308" w:rsidRDefault="006F3308" w:rsidP="006F3308">
      <w:r w:rsidRPr="006F3308">
        <w:t>5.5.1   (</w:t>
      </w:r>
      <w:proofErr w:type="gramStart"/>
      <w:r w:rsidRPr="006F3308">
        <w:t>a</w:t>
      </w:r>
      <w:proofErr w:type="gramEnd"/>
      <w:r w:rsidRPr="006F3308">
        <w:t>) When the unit is combusting oil, use the following equation to calculate hourly heat input rate:</w:t>
      </w:r>
    </w:p>
    <w:p w:rsidR="006F3308" w:rsidRPr="006F3308" w:rsidRDefault="006F3308" w:rsidP="006F3308">
      <w:r w:rsidRPr="006F3308">
        <w:rPr>
          <w:noProof/>
        </w:rPr>
        <w:drawing>
          <wp:inline distT="0" distB="0" distL="0" distR="0">
            <wp:extent cx="1464310" cy="298450"/>
            <wp:effectExtent l="19050" t="0" r="2540" b="0"/>
            <wp:docPr id="848" name="Picture 848" descr="eCFR graphic er26my99.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eCFR graphic er26my99.056.gif"/>
                    <pic:cNvPicPr>
                      <a:picLocks noChangeAspect="1" noChangeArrowheads="1"/>
                    </pic:cNvPicPr>
                  </pic:nvPicPr>
                  <pic:blipFill>
                    <a:blip r:embed="rId101" cstate="print"/>
                    <a:srcRect/>
                    <a:stretch>
                      <a:fillRect/>
                    </a:stretch>
                  </pic:blipFill>
                  <pic:spPr bwMode="auto">
                    <a:xfrm>
                      <a:off x="0" y="0"/>
                      <a:ext cx="1464310" cy="298450"/>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proofErr w:type="spellStart"/>
      <w:r w:rsidRPr="006F3308">
        <w:t>HI</w:t>
      </w:r>
      <w:r w:rsidRPr="006F3308">
        <w:rPr>
          <w:vertAlign w:val="subscript"/>
        </w:rPr>
        <w:t>o</w:t>
      </w:r>
      <w:proofErr w:type="spellEnd"/>
      <w:r w:rsidRPr="006F3308">
        <w:t xml:space="preserve"> = Hourly heat input rate from oil, </w:t>
      </w:r>
      <w:proofErr w:type="spellStart"/>
      <w:r w:rsidRPr="006F3308">
        <w:t>mmBtu</w:t>
      </w:r>
      <w:proofErr w:type="spellEnd"/>
      <w:r w:rsidRPr="006F3308">
        <w:t>/hr.</w:t>
      </w:r>
    </w:p>
    <w:p w:rsidR="006F3308" w:rsidRPr="006F3308" w:rsidRDefault="006F3308" w:rsidP="006F3308">
      <w:r w:rsidRPr="006F3308">
        <w:t>M</w:t>
      </w:r>
      <w:r w:rsidRPr="006F3308">
        <w:rPr>
          <w:vertAlign w:val="subscript"/>
        </w:rPr>
        <w:t>o</w:t>
      </w:r>
      <w:r w:rsidRPr="006F3308">
        <w:t xml:space="preserve"> = Mass rate of oil consumed per hour, as determined using procedures in appendix D to this part, in lb/hr, tons/hr, or kg/hr.</w:t>
      </w:r>
    </w:p>
    <w:p w:rsidR="006F3308" w:rsidRPr="006F3308" w:rsidRDefault="006F3308" w:rsidP="006F3308">
      <w:r w:rsidRPr="006F3308">
        <w:t>GCV</w:t>
      </w:r>
      <w:r w:rsidRPr="006F3308">
        <w:rPr>
          <w:vertAlign w:val="subscript"/>
        </w:rPr>
        <w:t>O</w:t>
      </w:r>
      <w:r w:rsidRPr="006F3308">
        <w:t xml:space="preserve"> = Gross calorific value of oil, as measured by ASTM D240-00, ASTM D5865-01a, ASTM D5865-10, or ASTM D4809-00 for each oil sample under section 2.2 of appendix D to this part, Btu/unit mass (all incorporated by reference under § 75.6).</w:t>
      </w:r>
    </w:p>
    <w:p w:rsidR="006F3308" w:rsidRPr="006F3308" w:rsidRDefault="006F3308" w:rsidP="006F3308">
      <w:r w:rsidRPr="006F3308">
        <w:t>10</w:t>
      </w:r>
      <w:r w:rsidRPr="006F3308">
        <w:rPr>
          <w:vertAlign w:val="superscript"/>
        </w:rPr>
        <w:t>6</w:t>
      </w:r>
      <w:r w:rsidRPr="006F3308">
        <w:t xml:space="preserve"> = Conversion of Btu to </w:t>
      </w:r>
      <w:proofErr w:type="spellStart"/>
      <w:r w:rsidRPr="006F3308">
        <w:t>mmBtu</w:t>
      </w:r>
      <w:proofErr w:type="spellEnd"/>
      <w:r w:rsidRPr="006F3308">
        <w:t>.</w:t>
      </w:r>
    </w:p>
    <w:p w:rsidR="006F3308" w:rsidRPr="006F3308" w:rsidRDefault="006F3308" w:rsidP="006F3308">
      <w:r w:rsidRPr="006F3308">
        <w:t>(b) When performing oil sampling and analysis solely for the purpose of the missing data procedures in § 75.36, oil samples for measuring GCV may be taken weekly, and the procedures specified in appendix D to this part for determining the mass rate of oil consumed per hour are optional.</w:t>
      </w:r>
    </w:p>
    <w:p w:rsidR="006F3308" w:rsidRPr="006F3308" w:rsidRDefault="006F3308" w:rsidP="006F3308">
      <w:r w:rsidRPr="006F3308">
        <w:t>5.5.2   When the unit is combusting gaseous fuels, use the following equation to calculate heat input rate from gaseous fuels for each hour:</w:t>
      </w:r>
    </w:p>
    <w:p w:rsidR="006F3308" w:rsidRPr="006F3308" w:rsidRDefault="006F3308" w:rsidP="006F3308">
      <w:r w:rsidRPr="006F3308">
        <w:rPr>
          <w:noProof/>
        </w:rPr>
        <w:drawing>
          <wp:inline distT="0" distB="0" distL="0" distR="0">
            <wp:extent cx="1630045" cy="344805"/>
            <wp:effectExtent l="19050" t="0" r="8255" b="0"/>
            <wp:docPr id="849" name="Picture 849" descr="eCFR graphic er26my99.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eCFR graphic er26my99.062.gif"/>
                    <pic:cNvPicPr>
                      <a:picLocks noChangeAspect="1" noChangeArrowheads="1"/>
                    </pic:cNvPicPr>
                  </pic:nvPicPr>
                  <pic:blipFill>
                    <a:blip r:embed="rId102" cstate="print"/>
                    <a:srcRect/>
                    <a:stretch>
                      <a:fillRect/>
                    </a:stretch>
                  </pic:blipFill>
                  <pic:spPr bwMode="auto">
                    <a:xfrm>
                      <a:off x="0" y="0"/>
                      <a:ext cx="1630045" cy="344805"/>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proofErr w:type="spellStart"/>
      <w:r w:rsidRPr="006F3308">
        <w:t>HI</w:t>
      </w:r>
      <w:r w:rsidRPr="006F3308">
        <w:rPr>
          <w:vertAlign w:val="subscript"/>
        </w:rPr>
        <w:t>g</w:t>
      </w:r>
      <w:proofErr w:type="spellEnd"/>
      <w:r w:rsidRPr="006F3308">
        <w:t xml:space="preserve"> = Hourly heat input rate from gaseous fuel, </w:t>
      </w:r>
      <w:proofErr w:type="spellStart"/>
      <w:r w:rsidRPr="006F3308">
        <w:t>mmBtu</w:t>
      </w:r>
      <w:proofErr w:type="spellEnd"/>
      <w:r w:rsidRPr="006F3308">
        <w:t>/hour.</w:t>
      </w:r>
    </w:p>
    <w:p w:rsidR="006F3308" w:rsidRPr="006F3308" w:rsidRDefault="006F3308" w:rsidP="006F3308">
      <w:proofErr w:type="spellStart"/>
      <w:r w:rsidRPr="006F3308">
        <w:t>Q</w:t>
      </w:r>
      <w:r w:rsidRPr="006F3308">
        <w:rPr>
          <w:vertAlign w:val="subscript"/>
        </w:rPr>
        <w:t>g</w:t>
      </w:r>
      <w:proofErr w:type="spellEnd"/>
      <w:r w:rsidRPr="006F3308">
        <w:t xml:space="preserve"> = Metered flow rate of gaseous fuel combusted during unit operation, hundred standard cubic feet per hour.</w:t>
      </w:r>
    </w:p>
    <w:p w:rsidR="006F3308" w:rsidRPr="006F3308" w:rsidRDefault="006F3308" w:rsidP="006F3308">
      <w:proofErr w:type="spellStart"/>
      <w:r w:rsidRPr="006F3308">
        <w:t>GCV</w:t>
      </w:r>
      <w:r w:rsidRPr="006F3308">
        <w:rPr>
          <w:vertAlign w:val="subscript"/>
        </w:rPr>
        <w:t>g</w:t>
      </w:r>
      <w:proofErr w:type="spellEnd"/>
      <w:r w:rsidRPr="006F3308">
        <w:t xml:space="preserve"> = Gross calorific value of gaseous fuel, as determined by sampling (for each delivery for gaseous fuel in lots, for each daily gas sample for gaseous fuel delivered by pipeline, for each hourly average for gas measured hourly with a gas chromatograph, or for each monthly sample of pipeline natural gas, or as verified by the </w:t>
      </w:r>
      <w:r w:rsidRPr="006F3308">
        <w:lastRenderedPageBreak/>
        <w:t>contractual supplier at least once every month pipeline natural gas is combusted, as specified in section 2.3 of appendix D to this part) using ASTM D1826-94 (Reapproved 1998), ASTM D3588-98, ASTM D4891-89 (Reapproved 2006), GPA Standard 2172-96 Calculation of Gross Heating Value, Relative Density and Compressibility Factor for Natural Gas Mixtures from Compositional Analysis, or GPA Standard 2261-00 Analysis for Natural Gas and Similar Gaseous Mixtures by Gas Chromatography, Btu/100 scf (all incorporated by reference under § 75.6 of this part).</w:t>
      </w:r>
    </w:p>
    <w:p w:rsidR="006F3308" w:rsidRPr="006F3308" w:rsidRDefault="006F3308" w:rsidP="006F3308">
      <w:r w:rsidRPr="006F3308">
        <w:t>10</w:t>
      </w:r>
      <w:r w:rsidRPr="006F3308">
        <w:rPr>
          <w:vertAlign w:val="superscript"/>
        </w:rPr>
        <w:t>6</w:t>
      </w:r>
      <w:r w:rsidRPr="006F3308">
        <w:t xml:space="preserve"> = Conversion of Btu to </w:t>
      </w:r>
      <w:proofErr w:type="spellStart"/>
      <w:r w:rsidRPr="006F3308">
        <w:t>mmBtu</w:t>
      </w:r>
      <w:proofErr w:type="spellEnd"/>
      <w:r w:rsidRPr="006F3308">
        <w:t>.</w:t>
      </w:r>
    </w:p>
    <w:p w:rsidR="006F3308" w:rsidRPr="006F3308" w:rsidRDefault="006F3308" w:rsidP="006F3308">
      <w:r w:rsidRPr="006F3308">
        <w:t>5.5.3   When the unit is combusting coal, use the procedures, methods, and equations in sections 5.5.3.1-5.5.3.3 of this appendix to determine the heat input from coal for each 24-hour period. (All ASTM methods are incorporated by reference under § 75.6 of this part.)</w:t>
      </w:r>
    </w:p>
    <w:p w:rsidR="006F3308" w:rsidRPr="006F3308" w:rsidRDefault="006F3308" w:rsidP="006F3308">
      <w:r w:rsidRPr="006F3308">
        <w:t>5.5.3.1   Perform coal sampling daily according to section 5.3.2.2 in Method 19 in appendix A to part 60 of this chapter and use ASTM D2234-00, Standard Practice for Collection of a Gross Sample of Coal, (incorporated by reference under § 75.6 of this part) Type I, Conditions A, B, or C and systematic spacing for sampling. (When performing coal sampling solely for the purposes of the missing data procedures in § 75.36, use of ASTM D2234-00 is optional, and coal samples may be taken weekly.)</w:t>
      </w:r>
    </w:p>
    <w:p w:rsidR="006F3308" w:rsidRPr="006F3308" w:rsidRDefault="006F3308" w:rsidP="006F3308">
      <w:r w:rsidRPr="006F3308">
        <w:t>5.5.3.2   All ASTM methods are incorporated by reference under § 75.6. Use ASTM D2013-01 for preparation of a daily coal sample and analyze each daily coal sample for gross calorific value using ASTM D5865-01a or ASTM D5865-10. On-line coal analysis may also be used if the on-line analytical instrument has been demonstrated to be equivalent to the applicable ASTM methods under §§ 75.23 and 75.66.</w:t>
      </w:r>
    </w:p>
    <w:p w:rsidR="006F3308" w:rsidRPr="006F3308" w:rsidRDefault="006F3308" w:rsidP="006F3308">
      <w:r w:rsidRPr="006F3308">
        <w:t>5.5.3.3   Calculate the heat input from coal using the following equation:</w:t>
      </w:r>
    </w:p>
    <w:p w:rsidR="006F3308" w:rsidRPr="006F3308" w:rsidRDefault="006F3308" w:rsidP="006F3308">
      <w:r w:rsidRPr="006F3308">
        <w:rPr>
          <w:noProof/>
        </w:rPr>
        <w:drawing>
          <wp:inline distT="0" distB="0" distL="0" distR="0">
            <wp:extent cx="2498090" cy="391160"/>
            <wp:effectExtent l="19050" t="0" r="0" b="0"/>
            <wp:docPr id="850" name="Picture 850" descr="eCFR graphic er17my95.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eCFR graphic er17my95.020.gif"/>
                    <pic:cNvPicPr>
                      <a:picLocks noChangeAspect="1" noChangeArrowheads="1"/>
                    </pic:cNvPicPr>
                  </pic:nvPicPr>
                  <pic:blipFill>
                    <a:blip r:embed="rId103" cstate="print"/>
                    <a:srcRect/>
                    <a:stretch>
                      <a:fillRect/>
                    </a:stretch>
                  </pic:blipFill>
                  <pic:spPr bwMode="auto">
                    <a:xfrm>
                      <a:off x="0" y="0"/>
                      <a:ext cx="2498090" cy="391160"/>
                    </a:xfrm>
                    <a:prstGeom prst="rect">
                      <a:avLst/>
                    </a:prstGeom>
                    <a:noFill/>
                    <a:ln w="9525">
                      <a:noFill/>
                      <a:miter lim="800000"/>
                      <a:headEnd/>
                      <a:tailEnd/>
                    </a:ln>
                  </pic:spPr>
                </pic:pic>
              </a:graphicData>
            </a:graphic>
          </wp:inline>
        </w:drawing>
      </w:r>
    </w:p>
    <w:p w:rsidR="006F3308" w:rsidRPr="006F3308" w:rsidRDefault="006F3308" w:rsidP="006F3308">
      <w:r w:rsidRPr="006F3308">
        <w:t>(Eq. F-21)</w:t>
      </w:r>
    </w:p>
    <w:p w:rsidR="006F3308" w:rsidRPr="006F3308" w:rsidRDefault="006F3308" w:rsidP="006F3308">
      <w:proofErr w:type="gramStart"/>
      <w:r w:rsidRPr="006F3308">
        <w:t>where</w:t>
      </w:r>
      <w:proofErr w:type="gramEnd"/>
      <w:r w:rsidRPr="006F3308">
        <w:t>:</w:t>
      </w:r>
    </w:p>
    <w:p w:rsidR="006F3308" w:rsidRPr="006F3308" w:rsidRDefault="006F3308" w:rsidP="006F3308">
      <w:proofErr w:type="spellStart"/>
      <w:r w:rsidRPr="006F3308">
        <w:t>HIc</w:t>
      </w:r>
      <w:proofErr w:type="spellEnd"/>
      <w:r w:rsidRPr="006F3308">
        <w:t xml:space="preserve"> = Daily heat input from coal, </w:t>
      </w:r>
      <w:proofErr w:type="spellStart"/>
      <w:r w:rsidRPr="006F3308">
        <w:t>mmBtu</w:t>
      </w:r>
      <w:proofErr w:type="spellEnd"/>
      <w:r w:rsidRPr="006F3308">
        <w:t>/day.</w:t>
      </w:r>
    </w:p>
    <w:p w:rsidR="006F3308" w:rsidRPr="006F3308" w:rsidRDefault="006F3308" w:rsidP="006F3308">
      <w:r w:rsidRPr="006F3308">
        <w:t>Mc = Mass of coal consumed per day, as measured and recorded in company records, tons.</w:t>
      </w:r>
    </w:p>
    <w:p w:rsidR="006F3308" w:rsidRPr="006F3308" w:rsidRDefault="006F3308" w:rsidP="006F3308">
      <w:r w:rsidRPr="006F3308">
        <w:t>GCV</w:t>
      </w:r>
      <w:r w:rsidRPr="006F3308">
        <w:rPr>
          <w:vertAlign w:val="subscript"/>
        </w:rPr>
        <w:t>C</w:t>
      </w:r>
      <w:r w:rsidRPr="006F3308">
        <w:t xml:space="preserve"> = Gross calorific value of coal sample, as measured by ASTM D3176-89 (Reapproved 2002), ASTM D5865-01a, or ASTM D5865-10, Btu/lb (incorporated by reference under § 75.6).</w:t>
      </w:r>
    </w:p>
    <w:p w:rsidR="006F3308" w:rsidRPr="006F3308" w:rsidRDefault="006F3308" w:rsidP="006F3308">
      <w:r w:rsidRPr="006F3308">
        <w:t xml:space="preserve">500 = Conversion of Btu/lb to </w:t>
      </w:r>
      <w:proofErr w:type="spellStart"/>
      <w:r w:rsidRPr="006F3308">
        <w:t>mmBtu</w:t>
      </w:r>
      <w:proofErr w:type="spellEnd"/>
      <w:r w:rsidRPr="006F3308">
        <w:t>/ton.</w:t>
      </w:r>
    </w:p>
    <w:p w:rsidR="006F3308" w:rsidRPr="006F3308" w:rsidRDefault="006F3308" w:rsidP="006F3308">
      <w:r w:rsidRPr="006F3308">
        <w:t xml:space="preserve">5.5.4   For units obtaining heat input values daily instead of hourly, apportion the daily heat input using the fraction of the daily steam load or daily unit operating load used each hour in order to obtain </w:t>
      </w:r>
      <w:proofErr w:type="spellStart"/>
      <w:r w:rsidRPr="006F3308">
        <w:t>HI</w:t>
      </w:r>
      <w:r w:rsidRPr="006F3308">
        <w:rPr>
          <w:vertAlign w:val="subscript"/>
        </w:rPr>
        <w:t>i</w:t>
      </w:r>
      <w:proofErr w:type="spellEnd"/>
      <w:r w:rsidRPr="006F3308">
        <w:t xml:space="preserve"> for use in the above equations. Alternatively, use the hourly mass of coal consumed in equation F-21.</w:t>
      </w:r>
    </w:p>
    <w:p w:rsidR="006F3308" w:rsidRPr="006F3308" w:rsidRDefault="006F3308" w:rsidP="006F3308">
      <w:r w:rsidRPr="006F3308">
        <w:t>5.5.5   If a daily fuel sampling value for gross calorific value is not available, substitute the maximum gross calorific value measured from the previous 30 daily samples. If a monthly fuel sampling value for gross calorific value is not available, substitute the maximum gross calorific value measured from the previous 3 monthly samples.</w:t>
      </w:r>
    </w:p>
    <w:p w:rsidR="006F3308" w:rsidRPr="006F3308" w:rsidRDefault="006F3308" w:rsidP="006F3308">
      <w:r w:rsidRPr="006F3308">
        <w:t xml:space="preserve">5.5.6   If a fuel flow value is not available, use the fuel </w:t>
      </w:r>
      <w:proofErr w:type="spellStart"/>
      <w:r w:rsidRPr="006F3308">
        <w:t>flowmeter</w:t>
      </w:r>
      <w:proofErr w:type="spellEnd"/>
      <w:r w:rsidRPr="006F3308">
        <w:t xml:space="preserve"> missing data procedures in section 2.4 of appendix D of this part. If a daily coal consumption value is not available, substitute the maximum fuel feed rate during the previous thirty days when the unit burned coal.</w:t>
      </w:r>
    </w:p>
    <w:p w:rsidR="006F3308" w:rsidRPr="006F3308" w:rsidRDefault="006F3308" w:rsidP="006F3308">
      <w:r w:rsidRPr="006F3308">
        <w:t xml:space="preserve">5.5.7   Results for samples must be available no later than thirty calendar days after the sample is composited or taken. However, during an audit, the Administrator may require that the results be available in five business </w:t>
      </w:r>
      <w:proofErr w:type="gramStart"/>
      <w:r w:rsidRPr="006F3308">
        <w:t>days,</w:t>
      </w:r>
      <w:proofErr w:type="gramEnd"/>
      <w:r w:rsidRPr="006F3308">
        <w:t xml:space="preserve"> or sooner if practicable.</w:t>
      </w:r>
    </w:p>
    <w:p w:rsidR="006F3308" w:rsidRPr="006F3308" w:rsidRDefault="006F3308" w:rsidP="006F3308">
      <w:pPr>
        <w:rPr>
          <w:i/>
          <w:iCs/>
        </w:rPr>
      </w:pPr>
      <w:r w:rsidRPr="006F3308">
        <w:rPr>
          <w:i/>
          <w:iCs/>
        </w:rPr>
        <w:t>5.6   Heat Input Rate Apportionment for Units Sharing a Common Stack or Pipe</w:t>
      </w:r>
    </w:p>
    <w:p w:rsidR="006F3308" w:rsidRPr="006F3308" w:rsidRDefault="006F3308" w:rsidP="006F3308">
      <w:r w:rsidRPr="006F3308">
        <w:t>5.6.1   Where applicable, the owner or operator of an affected unit that determines heat input rate at the unit level by apportioning the heat input monitored at a common stack or common pipe using megawatts shall apportion the heat input rate using the following equation:</w:t>
      </w:r>
    </w:p>
    <w:p w:rsidR="006F3308" w:rsidRPr="006F3308" w:rsidRDefault="006F3308" w:rsidP="006F3308">
      <w:r w:rsidRPr="006F3308">
        <w:rPr>
          <w:noProof/>
        </w:rPr>
        <w:drawing>
          <wp:inline distT="0" distB="0" distL="0" distR="0">
            <wp:extent cx="2093595" cy="649605"/>
            <wp:effectExtent l="19050" t="0" r="1905" b="0"/>
            <wp:docPr id="851" name="Picture 851" descr="eCFR graphic er26my99.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descr="eCFR graphic er26my99.057.gif"/>
                    <pic:cNvPicPr>
                      <a:picLocks noChangeAspect="1" noChangeArrowheads="1"/>
                    </pic:cNvPicPr>
                  </pic:nvPicPr>
                  <pic:blipFill>
                    <a:blip r:embed="rId104" cstate="print"/>
                    <a:srcRect/>
                    <a:stretch>
                      <a:fillRect/>
                    </a:stretch>
                  </pic:blipFill>
                  <pic:spPr bwMode="auto">
                    <a:xfrm>
                      <a:off x="0" y="0"/>
                      <a:ext cx="2093595" cy="649605"/>
                    </a:xfrm>
                    <a:prstGeom prst="rect">
                      <a:avLst/>
                    </a:prstGeom>
                    <a:noFill/>
                    <a:ln w="9525">
                      <a:noFill/>
                      <a:miter lim="800000"/>
                      <a:headEnd/>
                      <a:tailEnd/>
                    </a:ln>
                  </pic:spPr>
                </pic:pic>
              </a:graphicData>
            </a:graphic>
          </wp:inline>
        </w:drawing>
      </w:r>
    </w:p>
    <w:p w:rsidR="006F3308" w:rsidRPr="006F3308" w:rsidRDefault="006F3308" w:rsidP="006F3308">
      <w:r w:rsidRPr="006F3308">
        <w:lastRenderedPageBreak/>
        <w:t>Where:</w:t>
      </w:r>
    </w:p>
    <w:p w:rsidR="006F3308" w:rsidRPr="006F3308" w:rsidRDefault="006F3308" w:rsidP="006F3308">
      <w:proofErr w:type="spellStart"/>
      <w:r w:rsidRPr="006F3308">
        <w:t>HI</w:t>
      </w:r>
      <w:r w:rsidRPr="006F3308">
        <w:rPr>
          <w:vertAlign w:val="subscript"/>
        </w:rPr>
        <w:t>i</w:t>
      </w:r>
      <w:proofErr w:type="spellEnd"/>
      <w:r w:rsidRPr="006F3308">
        <w:t xml:space="preserve"> = Heat input rate for a unit, </w:t>
      </w:r>
      <w:proofErr w:type="spellStart"/>
      <w:r w:rsidRPr="006F3308">
        <w:t>mmBtu</w:t>
      </w:r>
      <w:proofErr w:type="spellEnd"/>
      <w:r w:rsidRPr="006F3308">
        <w:t>/hr.</w:t>
      </w:r>
    </w:p>
    <w:p w:rsidR="006F3308" w:rsidRPr="006F3308" w:rsidRDefault="006F3308" w:rsidP="006F3308">
      <w:proofErr w:type="spellStart"/>
      <w:r w:rsidRPr="006F3308">
        <w:t>HI</w:t>
      </w:r>
      <w:r w:rsidRPr="006F3308">
        <w:rPr>
          <w:vertAlign w:val="subscript"/>
        </w:rPr>
        <w:t>cs</w:t>
      </w:r>
      <w:proofErr w:type="spellEnd"/>
      <w:r w:rsidRPr="006F3308">
        <w:t xml:space="preserve"> = Heat input rate at the common </w:t>
      </w:r>
      <w:proofErr w:type="spellStart"/>
      <w:r w:rsidRPr="006F3308">
        <w:t>stack</w:t>
      </w:r>
      <w:proofErr w:type="spellEnd"/>
      <w:r w:rsidRPr="006F3308">
        <w:t xml:space="preserve"> or pipe, </w:t>
      </w:r>
      <w:proofErr w:type="spellStart"/>
      <w:r w:rsidRPr="006F3308">
        <w:t>mmBtu</w:t>
      </w:r>
      <w:proofErr w:type="spellEnd"/>
      <w:r w:rsidRPr="006F3308">
        <w:t>/hr.</w:t>
      </w:r>
    </w:p>
    <w:p w:rsidR="006F3308" w:rsidRPr="006F3308" w:rsidRDefault="006F3308" w:rsidP="006F3308">
      <w:proofErr w:type="spellStart"/>
      <w:r w:rsidRPr="006F3308">
        <w:t>MW</w:t>
      </w:r>
      <w:r w:rsidRPr="006F3308">
        <w:rPr>
          <w:vertAlign w:val="subscript"/>
        </w:rPr>
        <w:t>i</w:t>
      </w:r>
      <w:proofErr w:type="spellEnd"/>
      <w:r w:rsidRPr="006F3308">
        <w:t xml:space="preserve"> = Gross electrical output, </w:t>
      </w:r>
      <w:proofErr w:type="spellStart"/>
      <w:r w:rsidRPr="006F3308">
        <w:t>MWe</w:t>
      </w:r>
      <w:proofErr w:type="spellEnd"/>
      <w:r w:rsidRPr="006F3308">
        <w:t>.</w:t>
      </w:r>
    </w:p>
    <w:p w:rsidR="006F3308" w:rsidRPr="006F3308" w:rsidRDefault="006F3308" w:rsidP="006F3308">
      <w:proofErr w:type="spellStart"/>
      <w:proofErr w:type="gramStart"/>
      <w:r w:rsidRPr="006F3308">
        <w:t>t</w:t>
      </w:r>
      <w:r w:rsidRPr="006F3308">
        <w:rPr>
          <w:vertAlign w:val="subscript"/>
        </w:rPr>
        <w:t>i</w:t>
      </w:r>
      <w:proofErr w:type="spellEnd"/>
      <w:proofErr w:type="gramEnd"/>
      <w:r w:rsidRPr="006F3308">
        <w:t xml:space="preserve"> = Unit operating time, hour or fraction of an hour (in equal increments that can range from one hundredth to one quarter of an hour, at the option of the owner or operator).</w:t>
      </w:r>
    </w:p>
    <w:p w:rsidR="006F3308" w:rsidRPr="006F3308" w:rsidRDefault="006F3308" w:rsidP="006F3308">
      <w:proofErr w:type="spellStart"/>
      <w:proofErr w:type="gramStart"/>
      <w:r w:rsidRPr="006F3308">
        <w:t>t</w:t>
      </w:r>
      <w:r w:rsidRPr="006F3308">
        <w:rPr>
          <w:vertAlign w:val="subscript"/>
        </w:rPr>
        <w:t>CS</w:t>
      </w:r>
      <w:proofErr w:type="spellEnd"/>
      <w:proofErr w:type="gramEnd"/>
      <w:r w:rsidRPr="006F3308">
        <w:t xml:space="preserve"> = Common </w:t>
      </w:r>
      <w:proofErr w:type="spellStart"/>
      <w:r w:rsidRPr="006F3308">
        <w:t>stack</w:t>
      </w:r>
      <w:proofErr w:type="spellEnd"/>
      <w:r w:rsidRPr="006F3308">
        <w:t xml:space="preserve"> or common pipe operating time, hour or fraction of an hour (in equal increments that can range from one hundredth to one quarter of an hour, at the option of the owner or operator).</w:t>
      </w:r>
    </w:p>
    <w:p w:rsidR="006F3308" w:rsidRPr="006F3308" w:rsidRDefault="006F3308" w:rsidP="006F3308">
      <w:r w:rsidRPr="006F3308">
        <w:t xml:space="preserve">n = Total number of units using the common </w:t>
      </w:r>
      <w:proofErr w:type="spellStart"/>
      <w:r w:rsidRPr="006F3308">
        <w:t>stack</w:t>
      </w:r>
      <w:proofErr w:type="spellEnd"/>
      <w:r w:rsidRPr="006F3308">
        <w:t xml:space="preserve"> or pipe.</w:t>
      </w:r>
    </w:p>
    <w:p w:rsidR="006F3308" w:rsidRPr="006F3308" w:rsidRDefault="006F3308" w:rsidP="006F3308">
      <w:proofErr w:type="spellStart"/>
      <w:r w:rsidRPr="006F3308">
        <w:t>i</w:t>
      </w:r>
      <w:proofErr w:type="spellEnd"/>
      <w:r w:rsidRPr="006F3308">
        <w:t xml:space="preserve"> = Designation of a particular unit.</w:t>
      </w:r>
    </w:p>
    <w:p w:rsidR="006F3308" w:rsidRPr="006F3308" w:rsidRDefault="006F3308" w:rsidP="006F3308">
      <w:r w:rsidRPr="006F3308">
        <w:t>5.6.2   Where applicable, the owner or operator of an affected unit that determines the heat input rate at the unit level by apportioning the heat input rate monitored at a common stack or common pipe using steam load shall apportion the heat input rate using the following equation:</w:t>
      </w:r>
    </w:p>
    <w:p w:rsidR="006F3308" w:rsidRPr="006F3308" w:rsidRDefault="006F3308" w:rsidP="006F3308">
      <w:r w:rsidRPr="006F3308">
        <w:rPr>
          <w:noProof/>
        </w:rPr>
        <w:drawing>
          <wp:inline distT="0" distB="0" distL="0" distR="0">
            <wp:extent cx="2040890" cy="649605"/>
            <wp:effectExtent l="19050" t="0" r="0" b="0"/>
            <wp:docPr id="852" name="Picture 852" descr="eCFR graphic er26my99.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eCFR graphic er26my99.058.gif"/>
                    <pic:cNvPicPr>
                      <a:picLocks noChangeAspect="1" noChangeArrowheads="1"/>
                    </pic:cNvPicPr>
                  </pic:nvPicPr>
                  <pic:blipFill>
                    <a:blip r:embed="rId105" cstate="print"/>
                    <a:srcRect/>
                    <a:stretch>
                      <a:fillRect/>
                    </a:stretch>
                  </pic:blipFill>
                  <pic:spPr bwMode="auto">
                    <a:xfrm>
                      <a:off x="0" y="0"/>
                      <a:ext cx="2040890" cy="649605"/>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proofErr w:type="spellStart"/>
      <w:r w:rsidRPr="006F3308">
        <w:t>HI</w:t>
      </w:r>
      <w:r w:rsidRPr="006F3308">
        <w:rPr>
          <w:vertAlign w:val="subscript"/>
        </w:rPr>
        <w:t>i</w:t>
      </w:r>
      <w:proofErr w:type="spellEnd"/>
      <w:r w:rsidRPr="006F3308">
        <w:t xml:space="preserve"> = Heat input rate for a unit, </w:t>
      </w:r>
      <w:proofErr w:type="spellStart"/>
      <w:r w:rsidRPr="006F3308">
        <w:t>mmBtu</w:t>
      </w:r>
      <w:proofErr w:type="spellEnd"/>
      <w:r w:rsidRPr="006F3308">
        <w:t>/hr.</w:t>
      </w:r>
    </w:p>
    <w:p w:rsidR="006F3308" w:rsidRPr="006F3308" w:rsidRDefault="006F3308" w:rsidP="006F3308">
      <w:r w:rsidRPr="006F3308">
        <w:t>HI</w:t>
      </w:r>
      <w:r w:rsidRPr="006F3308">
        <w:rPr>
          <w:vertAlign w:val="subscript"/>
        </w:rPr>
        <w:t>CS</w:t>
      </w:r>
      <w:r w:rsidRPr="006F3308">
        <w:t xml:space="preserve"> = Heat input rate at the common </w:t>
      </w:r>
      <w:proofErr w:type="spellStart"/>
      <w:r w:rsidRPr="006F3308">
        <w:t>stack</w:t>
      </w:r>
      <w:proofErr w:type="spellEnd"/>
      <w:r w:rsidRPr="006F3308">
        <w:t xml:space="preserve"> or pipe, </w:t>
      </w:r>
      <w:proofErr w:type="spellStart"/>
      <w:r w:rsidRPr="006F3308">
        <w:t>mmBtu</w:t>
      </w:r>
      <w:proofErr w:type="spellEnd"/>
      <w:r w:rsidRPr="006F3308">
        <w:t>/hr.</w:t>
      </w:r>
    </w:p>
    <w:p w:rsidR="006F3308" w:rsidRPr="006F3308" w:rsidRDefault="006F3308" w:rsidP="006F3308">
      <w:r w:rsidRPr="006F3308">
        <w:t xml:space="preserve">SF = Gross steam load, lb/hr, or </w:t>
      </w:r>
      <w:proofErr w:type="spellStart"/>
      <w:r w:rsidRPr="006F3308">
        <w:t>mmBtu</w:t>
      </w:r>
      <w:proofErr w:type="spellEnd"/>
      <w:r w:rsidRPr="006F3308">
        <w:t>/hr.</w:t>
      </w:r>
    </w:p>
    <w:p w:rsidR="006F3308" w:rsidRPr="006F3308" w:rsidRDefault="006F3308" w:rsidP="006F3308">
      <w:proofErr w:type="spellStart"/>
      <w:proofErr w:type="gramStart"/>
      <w:r w:rsidRPr="006F3308">
        <w:t>t</w:t>
      </w:r>
      <w:r w:rsidRPr="006F3308">
        <w:rPr>
          <w:vertAlign w:val="subscript"/>
        </w:rPr>
        <w:t>i</w:t>
      </w:r>
      <w:proofErr w:type="spellEnd"/>
      <w:proofErr w:type="gramEnd"/>
      <w:r w:rsidRPr="006F3308">
        <w:t xml:space="preserve"> = Unit operating time, hour or fraction of an hour (in equal increments that can range from one hundredth to one quarter of an hour, at the option of the owner or operator).</w:t>
      </w:r>
    </w:p>
    <w:p w:rsidR="006F3308" w:rsidRPr="006F3308" w:rsidRDefault="006F3308" w:rsidP="006F3308">
      <w:proofErr w:type="spellStart"/>
      <w:proofErr w:type="gramStart"/>
      <w:r w:rsidRPr="006F3308">
        <w:t>t</w:t>
      </w:r>
      <w:r w:rsidRPr="006F3308">
        <w:rPr>
          <w:vertAlign w:val="subscript"/>
        </w:rPr>
        <w:t>CS</w:t>
      </w:r>
      <w:proofErr w:type="spellEnd"/>
      <w:proofErr w:type="gramEnd"/>
      <w:r w:rsidRPr="006F3308">
        <w:t xml:space="preserve"> = Common </w:t>
      </w:r>
      <w:proofErr w:type="spellStart"/>
      <w:r w:rsidRPr="006F3308">
        <w:t>stack</w:t>
      </w:r>
      <w:proofErr w:type="spellEnd"/>
      <w:r w:rsidRPr="006F3308">
        <w:t xml:space="preserve"> or common pipe operating time, hour or fraction of an hour (in equal increments that can range from one hundredth to one quarter of an hour, at the option of the owner or operator).</w:t>
      </w:r>
    </w:p>
    <w:p w:rsidR="006F3308" w:rsidRPr="006F3308" w:rsidRDefault="006F3308" w:rsidP="006F3308">
      <w:r w:rsidRPr="006F3308">
        <w:t xml:space="preserve">n = Total number of units using the common </w:t>
      </w:r>
      <w:proofErr w:type="spellStart"/>
      <w:r w:rsidRPr="006F3308">
        <w:t>stack</w:t>
      </w:r>
      <w:proofErr w:type="spellEnd"/>
      <w:r w:rsidRPr="006F3308">
        <w:t xml:space="preserve"> or pipe.</w:t>
      </w:r>
    </w:p>
    <w:p w:rsidR="006F3308" w:rsidRPr="006F3308" w:rsidRDefault="006F3308" w:rsidP="006F3308">
      <w:proofErr w:type="spellStart"/>
      <w:r w:rsidRPr="006F3308">
        <w:t>i</w:t>
      </w:r>
      <w:proofErr w:type="spellEnd"/>
      <w:r w:rsidRPr="006F3308">
        <w:t xml:space="preserve"> = Designation of a particular unit.</w:t>
      </w:r>
    </w:p>
    <w:p w:rsidR="006F3308" w:rsidRPr="006F3308" w:rsidRDefault="006F3308" w:rsidP="006F3308">
      <w:pPr>
        <w:rPr>
          <w:i/>
          <w:iCs/>
        </w:rPr>
      </w:pPr>
      <w:r w:rsidRPr="006F3308">
        <w:rPr>
          <w:i/>
          <w:iCs/>
        </w:rPr>
        <w:t>5.7   Heat Input Rate Summation for Units with Multiple Stacks or Pipes</w:t>
      </w:r>
    </w:p>
    <w:p w:rsidR="006F3308" w:rsidRPr="006F3308" w:rsidRDefault="006F3308" w:rsidP="006F3308">
      <w:r w:rsidRPr="006F3308">
        <w:t>The owner or operator of an affected unit that determines the heat input rate at the unit level by summing the heat input rates monitored at multiple stacks or multiple pipes shall sum the heat input rates using the following equation:</w:t>
      </w:r>
    </w:p>
    <w:p w:rsidR="006F3308" w:rsidRPr="006F3308" w:rsidRDefault="006F3308" w:rsidP="006F3308">
      <w:r w:rsidRPr="006F3308">
        <w:rPr>
          <w:noProof/>
        </w:rPr>
        <w:drawing>
          <wp:inline distT="0" distB="0" distL="0" distR="0">
            <wp:extent cx="1550670" cy="483870"/>
            <wp:effectExtent l="19050" t="0" r="0" b="0"/>
            <wp:docPr id="853" name="Picture 853" descr="eCFR graphic er26my99.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eCFR graphic er26my99.059.gif"/>
                    <pic:cNvPicPr>
                      <a:picLocks noChangeAspect="1" noChangeArrowheads="1"/>
                    </pic:cNvPicPr>
                  </pic:nvPicPr>
                  <pic:blipFill>
                    <a:blip r:embed="rId106" cstate="print"/>
                    <a:srcRect/>
                    <a:stretch>
                      <a:fillRect/>
                    </a:stretch>
                  </pic:blipFill>
                  <pic:spPr bwMode="auto">
                    <a:xfrm>
                      <a:off x="0" y="0"/>
                      <a:ext cx="1550670" cy="483870"/>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proofErr w:type="spellStart"/>
      <w:r w:rsidRPr="006F3308">
        <w:t>HI</w:t>
      </w:r>
      <w:r w:rsidRPr="006F3308">
        <w:rPr>
          <w:vertAlign w:val="subscript"/>
        </w:rPr>
        <w:t>Unit</w:t>
      </w:r>
      <w:proofErr w:type="spellEnd"/>
      <w:r w:rsidRPr="006F3308">
        <w:t xml:space="preserve"> = Heat input rate for a unit, </w:t>
      </w:r>
      <w:proofErr w:type="spellStart"/>
      <w:r w:rsidRPr="006F3308">
        <w:t>mmBtu</w:t>
      </w:r>
      <w:proofErr w:type="spellEnd"/>
      <w:r w:rsidRPr="006F3308">
        <w:t>/hr.</w:t>
      </w:r>
    </w:p>
    <w:p w:rsidR="006F3308" w:rsidRPr="006F3308" w:rsidRDefault="006F3308" w:rsidP="006F3308">
      <w:r w:rsidRPr="006F3308">
        <w:t>HI</w:t>
      </w:r>
      <w:r w:rsidRPr="006F3308">
        <w:rPr>
          <w:vertAlign w:val="subscript"/>
        </w:rPr>
        <w:t>s</w:t>
      </w:r>
      <w:r w:rsidRPr="006F3308">
        <w:t xml:space="preserve"> = Heat input rate for the individual stack, duct, or pipe, </w:t>
      </w:r>
      <w:proofErr w:type="spellStart"/>
      <w:r w:rsidRPr="006F3308">
        <w:t>mmBtu</w:t>
      </w:r>
      <w:proofErr w:type="spellEnd"/>
      <w:r w:rsidRPr="006F3308">
        <w:t>/hr.</w:t>
      </w:r>
    </w:p>
    <w:p w:rsidR="006F3308" w:rsidRPr="006F3308" w:rsidRDefault="006F3308" w:rsidP="006F3308">
      <w:proofErr w:type="spellStart"/>
      <w:proofErr w:type="gramStart"/>
      <w:r w:rsidRPr="006F3308">
        <w:t>t</w:t>
      </w:r>
      <w:r w:rsidRPr="006F3308">
        <w:rPr>
          <w:vertAlign w:val="subscript"/>
        </w:rPr>
        <w:t>Unit</w:t>
      </w:r>
      <w:proofErr w:type="spellEnd"/>
      <w:proofErr w:type="gramEnd"/>
      <w:r w:rsidRPr="006F3308">
        <w:t xml:space="preserve"> = Unit operating time, hour or fraction of the hour (in equal increments that can range from one hundredth to one quarter of an hour, at the option of the owner or operator).</w:t>
      </w:r>
    </w:p>
    <w:p w:rsidR="006F3308" w:rsidRPr="006F3308" w:rsidRDefault="006F3308" w:rsidP="006F3308">
      <w:proofErr w:type="spellStart"/>
      <w:proofErr w:type="gramStart"/>
      <w:r w:rsidRPr="006F3308">
        <w:t>t</w:t>
      </w:r>
      <w:r w:rsidRPr="006F3308">
        <w:rPr>
          <w:vertAlign w:val="subscript"/>
        </w:rPr>
        <w:t>s</w:t>
      </w:r>
      <w:proofErr w:type="spellEnd"/>
      <w:proofErr w:type="gramEnd"/>
      <w:r w:rsidRPr="006F3308">
        <w:t xml:space="preserve"> = Operating time for the individual stack or pipe, hour or fraction of the hour (in equal increments that can range from one hundredth to one quarter of an hour, at the option of the owner or operator).</w:t>
      </w:r>
    </w:p>
    <w:p w:rsidR="006F3308" w:rsidRPr="006F3308" w:rsidRDefault="006F3308" w:rsidP="006F3308">
      <w:r w:rsidRPr="006F3308">
        <w:t>s = Designation for a particular stack, duct, or pipe.</w:t>
      </w:r>
    </w:p>
    <w:p w:rsidR="006F3308" w:rsidRPr="006F3308" w:rsidRDefault="006F3308" w:rsidP="006F3308">
      <w:pPr>
        <w:rPr>
          <w:i/>
          <w:iCs/>
        </w:rPr>
      </w:pPr>
      <w:r w:rsidRPr="006F3308">
        <w:rPr>
          <w:i/>
          <w:iCs/>
        </w:rPr>
        <w:t>5.8   Alternate Heat Input Apportionment for Common Pipes</w:t>
      </w:r>
    </w:p>
    <w:p w:rsidR="006F3308" w:rsidRPr="006F3308" w:rsidRDefault="006F3308" w:rsidP="006F3308">
      <w:r w:rsidRPr="006F3308">
        <w:t xml:space="preserve">As an alternative to using Equation F-21a or F-21b in section 5.6 of this appendix, the owner or operator may apportion the heat input rate at a common pipe to the individual units served by the common pipe based on the fuel flow rate to the individual units, as measured by uncertified fuel </w:t>
      </w:r>
      <w:proofErr w:type="spellStart"/>
      <w:r w:rsidRPr="006F3308">
        <w:t>flowmeters</w:t>
      </w:r>
      <w:proofErr w:type="spellEnd"/>
      <w:r w:rsidRPr="006F3308">
        <w:t xml:space="preserve">. This option may only be used if a fuel </w:t>
      </w:r>
      <w:proofErr w:type="spellStart"/>
      <w:r w:rsidRPr="006F3308">
        <w:t>flowmeter</w:t>
      </w:r>
      <w:proofErr w:type="spellEnd"/>
      <w:r w:rsidRPr="006F3308">
        <w:t xml:space="preserve"> system that meets the requirements of appendix D to this part is installed on the common pipe. If this option is used, determine the unit heat input rates using the following equation:</w:t>
      </w:r>
    </w:p>
    <w:p w:rsidR="006F3308" w:rsidRPr="006F3308" w:rsidRDefault="006F3308" w:rsidP="006F3308">
      <w:r w:rsidRPr="006F3308">
        <w:rPr>
          <w:noProof/>
        </w:rPr>
        <w:lastRenderedPageBreak/>
        <w:drawing>
          <wp:inline distT="0" distB="0" distL="0" distR="0">
            <wp:extent cx="2723515" cy="861695"/>
            <wp:effectExtent l="19050" t="0" r="635" b="0"/>
            <wp:docPr id="854" name="Picture 854" descr="eCFR graphic er12jn0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descr="eCFR graphic er12jn02.023.gif"/>
                    <pic:cNvPicPr>
                      <a:picLocks noChangeAspect="1" noChangeArrowheads="1"/>
                    </pic:cNvPicPr>
                  </pic:nvPicPr>
                  <pic:blipFill>
                    <a:blip r:embed="rId107" cstate="print"/>
                    <a:srcRect/>
                    <a:stretch>
                      <a:fillRect/>
                    </a:stretch>
                  </pic:blipFill>
                  <pic:spPr bwMode="auto">
                    <a:xfrm>
                      <a:off x="0" y="0"/>
                      <a:ext cx="2723515" cy="861695"/>
                    </a:xfrm>
                    <a:prstGeom prst="rect">
                      <a:avLst/>
                    </a:prstGeom>
                    <a:noFill/>
                    <a:ln w="9525">
                      <a:noFill/>
                      <a:miter lim="800000"/>
                      <a:headEnd/>
                      <a:tailEnd/>
                    </a:ln>
                  </pic:spPr>
                </pic:pic>
              </a:graphicData>
            </a:graphic>
          </wp:inline>
        </w:drawing>
      </w:r>
    </w:p>
    <w:p w:rsidR="006F3308" w:rsidRPr="006F3308" w:rsidRDefault="006F3308" w:rsidP="006F3308">
      <w:r w:rsidRPr="006F3308">
        <w:t>Where:</w:t>
      </w:r>
    </w:p>
    <w:p w:rsidR="006F3308" w:rsidRPr="006F3308" w:rsidRDefault="006F3308" w:rsidP="006F3308">
      <w:proofErr w:type="spellStart"/>
      <w:r w:rsidRPr="006F3308">
        <w:t>HI</w:t>
      </w:r>
      <w:r w:rsidRPr="006F3308">
        <w:rPr>
          <w:vertAlign w:val="subscript"/>
        </w:rPr>
        <w:t>i</w:t>
      </w:r>
      <w:proofErr w:type="spellEnd"/>
      <w:r w:rsidRPr="006F3308">
        <w:t xml:space="preserve"> = Heat input rate for a unit, </w:t>
      </w:r>
      <w:proofErr w:type="spellStart"/>
      <w:r w:rsidRPr="006F3308">
        <w:t>mmBtu</w:t>
      </w:r>
      <w:proofErr w:type="spellEnd"/>
      <w:r w:rsidRPr="006F3308">
        <w:t>/hr.</w:t>
      </w:r>
    </w:p>
    <w:p w:rsidR="006F3308" w:rsidRPr="006F3308" w:rsidRDefault="006F3308" w:rsidP="006F3308">
      <w:r w:rsidRPr="006F3308">
        <w:t>HI</w:t>
      </w:r>
      <w:r w:rsidRPr="006F3308">
        <w:rPr>
          <w:vertAlign w:val="subscript"/>
        </w:rPr>
        <w:t>CP</w:t>
      </w:r>
      <w:r w:rsidRPr="006F3308">
        <w:t xml:space="preserve"> = Heat input rate at the common pipe, </w:t>
      </w:r>
      <w:proofErr w:type="spellStart"/>
      <w:r w:rsidRPr="006F3308">
        <w:t>mmBtu</w:t>
      </w:r>
      <w:proofErr w:type="spellEnd"/>
      <w:r w:rsidRPr="006F3308">
        <w:t>/hr.</w:t>
      </w:r>
    </w:p>
    <w:p w:rsidR="006F3308" w:rsidRPr="006F3308" w:rsidRDefault="006F3308" w:rsidP="006F3308">
      <w:proofErr w:type="spellStart"/>
      <w:r w:rsidRPr="006F3308">
        <w:t>FF</w:t>
      </w:r>
      <w:r w:rsidRPr="006F3308">
        <w:rPr>
          <w:vertAlign w:val="subscript"/>
        </w:rPr>
        <w:t>i</w:t>
      </w:r>
      <w:proofErr w:type="spellEnd"/>
      <w:r w:rsidRPr="006F3308">
        <w:t xml:space="preserve"> = Fuel flow rate to a unit, gal/min, 100 </w:t>
      </w:r>
      <w:proofErr w:type="spellStart"/>
      <w:r w:rsidRPr="006F3308">
        <w:t>scfh</w:t>
      </w:r>
      <w:proofErr w:type="spellEnd"/>
      <w:r w:rsidRPr="006F3308">
        <w:t>, or other appropriate units.</w:t>
      </w:r>
    </w:p>
    <w:p w:rsidR="006F3308" w:rsidRPr="006F3308" w:rsidRDefault="006F3308" w:rsidP="006F3308">
      <w:proofErr w:type="spellStart"/>
      <w:proofErr w:type="gramStart"/>
      <w:r w:rsidRPr="006F3308">
        <w:t>t</w:t>
      </w:r>
      <w:r w:rsidRPr="006F3308">
        <w:rPr>
          <w:vertAlign w:val="subscript"/>
        </w:rPr>
        <w:t>i</w:t>
      </w:r>
      <w:proofErr w:type="spellEnd"/>
      <w:proofErr w:type="gramEnd"/>
      <w:r w:rsidRPr="006F3308">
        <w:t xml:space="preserve"> = Unit operating time, hour or fraction of an hour (in equal increments that can range from one hundredth to one quarter of an hour, at the option of the owner or operator).</w:t>
      </w:r>
    </w:p>
    <w:p w:rsidR="006F3308" w:rsidRPr="006F3308" w:rsidRDefault="006F3308" w:rsidP="006F3308">
      <w:proofErr w:type="spellStart"/>
      <w:proofErr w:type="gramStart"/>
      <w:r w:rsidRPr="006F3308">
        <w:t>t</w:t>
      </w:r>
      <w:r w:rsidRPr="006F3308">
        <w:rPr>
          <w:vertAlign w:val="subscript"/>
        </w:rPr>
        <w:t>CP</w:t>
      </w:r>
      <w:proofErr w:type="spellEnd"/>
      <w:proofErr w:type="gramEnd"/>
      <w:r w:rsidRPr="006F3308">
        <w:t xml:space="preserve"> = Common pipe operating time, hour or fraction of an hour (in equal increments that can range from one hundredth to one quarter of an hour, at the option of the owner or operator).</w:t>
      </w:r>
    </w:p>
    <w:p w:rsidR="006F3308" w:rsidRPr="006F3308" w:rsidRDefault="006F3308" w:rsidP="006F3308">
      <w:r w:rsidRPr="006F3308">
        <w:t>n = Total number of units using the common pipe.</w:t>
      </w:r>
    </w:p>
    <w:p w:rsidR="006F3308" w:rsidRPr="006F3308" w:rsidRDefault="006F3308" w:rsidP="006F3308">
      <w:proofErr w:type="spellStart"/>
      <w:r w:rsidRPr="006F3308">
        <w:t>i</w:t>
      </w:r>
      <w:proofErr w:type="spellEnd"/>
      <w:r w:rsidRPr="006F3308">
        <w:t xml:space="preserve"> = Designation of a particular unit.</w:t>
      </w:r>
    </w:p>
    <w:p w:rsidR="006F3308" w:rsidRDefault="006F3308" w:rsidP="006F3308"/>
    <w:p w:rsidR="006F3308" w:rsidRDefault="006F3308" w:rsidP="006F3308"/>
    <w:p w:rsidR="006F3308" w:rsidRPr="006F3308" w:rsidRDefault="006F3308" w:rsidP="006F3308">
      <w:r w:rsidRPr="006F3308">
        <w:t xml:space="preserve">Table 1 lists the values of F and </w:t>
      </w:r>
      <w:proofErr w:type="spellStart"/>
      <w:r w:rsidRPr="006F3308">
        <w:t>F</w:t>
      </w:r>
      <w:r w:rsidRPr="006F3308">
        <w:rPr>
          <w:vertAlign w:val="subscript"/>
        </w:rPr>
        <w:t>c</w:t>
      </w:r>
      <w:proofErr w:type="spellEnd"/>
      <w:r w:rsidRPr="006F3308">
        <w:t xml:space="preserve"> for different fuels.</w:t>
      </w:r>
    </w:p>
    <w:p w:rsidR="006F3308" w:rsidRPr="006F3308" w:rsidRDefault="006F3308" w:rsidP="006F3308">
      <w:pPr>
        <w:rPr>
          <w:b/>
          <w:bCs/>
        </w:rPr>
      </w:pPr>
      <w:r w:rsidRPr="006F3308">
        <w:rPr>
          <w:b/>
          <w:bCs/>
        </w:rPr>
        <w:t xml:space="preserve">Table 1—F- and </w:t>
      </w:r>
      <w:proofErr w:type="spellStart"/>
      <w:r w:rsidRPr="006F3308">
        <w:rPr>
          <w:b/>
          <w:bCs/>
        </w:rPr>
        <w:t>F</w:t>
      </w:r>
      <w:r w:rsidRPr="006F3308">
        <w:rPr>
          <w:b/>
          <w:bCs/>
          <w:vertAlign w:val="subscript"/>
        </w:rPr>
        <w:t>c</w:t>
      </w:r>
      <w:proofErr w:type="spellEnd"/>
      <w:r w:rsidRPr="006F3308">
        <w:rPr>
          <w:b/>
          <w:bCs/>
        </w:rPr>
        <w:t>-Factors </w:t>
      </w:r>
      <w:r w:rsidRPr="006F3308">
        <w:rPr>
          <w:b/>
          <w:bCs/>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85"/>
        <w:gridCol w:w="2035"/>
        <w:gridCol w:w="2546"/>
      </w:tblGrid>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6F3308" w:rsidRPr="006F3308" w:rsidRDefault="006F3308" w:rsidP="006F3308">
            <w:pPr>
              <w:rPr>
                <w:b/>
                <w:bCs/>
              </w:rPr>
            </w:pPr>
            <w:r w:rsidRPr="006F3308">
              <w:rPr>
                <w:b/>
                <w:bCs/>
              </w:rPr>
              <w:t>Fuel</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F3308" w:rsidRPr="006F3308" w:rsidRDefault="006F3308" w:rsidP="006F3308">
            <w:pPr>
              <w:rPr>
                <w:b/>
                <w:bCs/>
              </w:rPr>
            </w:pPr>
            <w:r w:rsidRPr="006F3308">
              <w:rPr>
                <w:b/>
                <w:bCs/>
              </w:rPr>
              <w:t>F-factor</w:t>
            </w:r>
            <w:r w:rsidRPr="006F3308">
              <w:rPr>
                <w:b/>
                <w:bCs/>
              </w:rPr>
              <w:br/>
              <w:t>(</w:t>
            </w:r>
            <w:proofErr w:type="spellStart"/>
            <w:r w:rsidRPr="006F3308">
              <w:rPr>
                <w:b/>
                <w:bCs/>
              </w:rPr>
              <w:t>dscf</w:t>
            </w:r>
            <w:proofErr w:type="spellEnd"/>
            <w:r w:rsidRPr="006F3308">
              <w:rPr>
                <w:b/>
                <w:bCs/>
              </w:rPr>
              <w:t>/</w:t>
            </w:r>
            <w:proofErr w:type="spellStart"/>
            <w:r w:rsidRPr="006F3308">
              <w:rPr>
                <w:b/>
                <w:bCs/>
              </w:rPr>
              <w:t>mmBtu</w:t>
            </w:r>
            <w:proofErr w:type="spellEnd"/>
            <w:r w:rsidRPr="006F3308">
              <w:rPr>
                <w:b/>
                <w:bCs/>
              </w:rPr>
              <w: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6F3308" w:rsidRPr="006F3308" w:rsidRDefault="006F3308" w:rsidP="006F3308">
            <w:pPr>
              <w:rPr>
                <w:b/>
                <w:bCs/>
              </w:rPr>
            </w:pPr>
            <w:r w:rsidRPr="006F3308">
              <w:rPr>
                <w:b/>
                <w:bCs/>
              </w:rPr>
              <w:t>F</w:t>
            </w:r>
            <w:r w:rsidRPr="006F3308">
              <w:rPr>
                <w:b/>
                <w:bCs/>
                <w:vertAlign w:val="subscript"/>
              </w:rPr>
              <w:t>C</w:t>
            </w:r>
            <w:r w:rsidRPr="006F3308">
              <w:rPr>
                <w:b/>
                <w:bCs/>
              </w:rPr>
              <w:t>-factor</w:t>
            </w:r>
            <w:r w:rsidRPr="006F3308">
              <w:rPr>
                <w:b/>
                <w:bCs/>
              </w:rPr>
              <w:br/>
              <w:t>(</w:t>
            </w:r>
            <w:proofErr w:type="spellStart"/>
            <w:r w:rsidRPr="006F3308">
              <w:rPr>
                <w:b/>
                <w:bCs/>
              </w:rPr>
              <w:t>scf</w:t>
            </w:r>
            <w:proofErr w:type="spellEnd"/>
            <w:r w:rsidRPr="006F3308">
              <w:rPr>
                <w:b/>
                <w:bCs/>
              </w:rPr>
              <w:t xml:space="preserve"> CO</w:t>
            </w:r>
            <w:r w:rsidRPr="006F3308">
              <w:rPr>
                <w:b/>
                <w:bCs/>
                <w:vertAlign w:val="subscript"/>
              </w:rPr>
              <w:t>2</w:t>
            </w:r>
            <w:r w:rsidRPr="006F3308">
              <w:rPr>
                <w:b/>
                <w:bCs/>
              </w:rPr>
              <w:t>/</w:t>
            </w:r>
            <w:proofErr w:type="spellStart"/>
            <w:r w:rsidRPr="006F3308">
              <w:rPr>
                <w:b/>
                <w:bCs/>
              </w:rPr>
              <w:t>mmBtu</w:t>
            </w:r>
            <w:proofErr w:type="spellEnd"/>
            <w:r w:rsidRPr="006F3308">
              <w:rPr>
                <w:b/>
                <w:bCs/>
              </w:rPr>
              <w:t>)</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Coal (as defined by ASTM D388-99 </w:t>
            </w:r>
            <w:r w:rsidRPr="006F3308">
              <w:rPr>
                <w:vertAlign w:val="superscript"/>
              </w:rPr>
              <w:t>2</w:t>
            </w:r>
            <w:r w:rsidRPr="006F3308">
              <w:t>):</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Anthracite</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10,100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1,970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Bituminous</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9,780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1,800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proofErr w:type="spellStart"/>
            <w:r w:rsidRPr="006F3308">
              <w:t>Subbituminous</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9,820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1,840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Lignite</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9,860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1,910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Petroleum Coke</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9,830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1,850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Tire Derived Fuel</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10,260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1,800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Oil</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9,190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1,420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Gas:</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Natural gas</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8,710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1,040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Propane</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8,710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1,190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Butane</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8,710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1,250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Wood:</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Bark</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9,600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1,920</w:t>
            </w:r>
          </w:p>
        </w:tc>
      </w:tr>
      <w:tr w:rsidR="006F3308" w:rsidRPr="006F3308" w:rsidTr="006F3308">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5" w:type="dxa"/>
              <w:right w:w="15" w:type="dxa"/>
            </w:tcMar>
            <w:hideMark/>
          </w:tcPr>
          <w:p w:rsidR="006F3308" w:rsidRPr="006F3308" w:rsidRDefault="006F3308" w:rsidP="006F3308">
            <w:r w:rsidRPr="006F3308">
              <w:t>Wood residue</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9,240</w:t>
            </w:r>
          </w:p>
        </w:tc>
        <w:tc>
          <w:tcPr>
            <w:tcW w:w="0" w:type="auto"/>
            <w:tcBorders>
              <w:top w:val="single" w:sz="4" w:space="0" w:color="000000"/>
              <w:left w:val="single" w:sz="4" w:space="0" w:color="000000"/>
              <w:bottom w:val="single" w:sz="4" w:space="0" w:color="000000"/>
              <w:right w:val="single" w:sz="4" w:space="0" w:color="000000"/>
            </w:tcBorders>
            <w:hideMark/>
          </w:tcPr>
          <w:p w:rsidR="006F3308" w:rsidRPr="006F3308" w:rsidRDefault="006F3308" w:rsidP="006F3308">
            <w:r w:rsidRPr="006F3308">
              <w:t>1,830</w:t>
            </w:r>
          </w:p>
        </w:tc>
      </w:tr>
    </w:tbl>
    <w:p w:rsidR="006F3308" w:rsidRPr="006F3308" w:rsidRDefault="006F3308" w:rsidP="006F3308">
      <w:r w:rsidRPr="006F3308">
        <w:rPr>
          <w:vertAlign w:val="superscript"/>
        </w:rPr>
        <w:t>1</w:t>
      </w:r>
      <w:r w:rsidRPr="006F3308">
        <w:t> Determined at standard conditions: 20 °C (68 °F) and 29.92 inches of mercury.</w:t>
      </w:r>
    </w:p>
    <w:p w:rsidR="006F3308" w:rsidRPr="006F3308" w:rsidRDefault="006F3308" w:rsidP="006F3308">
      <w:r w:rsidRPr="006F3308">
        <w:rPr>
          <w:vertAlign w:val="superscript"/>
        </w:rPr>
        <w:t>2</w:t>
      </w:r>
      <w:r w:rsidRPr="006F3308">
        <w:t> Incorporated by reference under § 75.6 of this part.</w:t>
      </w:r>
    </w:p>
    <w:p w:rsidR="006F3308" w:rsidRDefault="006F3308" w:rsidP="00D239C5"/>
    <w:p w:rsidR="00BA1523" w:rsidRPr="00845E31" w:rsidRDefault="00C754B0" w:rsidP="00D239C5">
      <w:pPr>
        <w:rPr>
          <w:szCs w:val="22"/>
        </w:rPr>
      </w:pPr>
      <w:hyperlink r:id="rId108" w:history="1">
        <w:r w:rsidR="00C64843">
          <w:rPr>
            <w:rStyle w:val="Hyperlink"/>
          </w:rPr>
          <w:t xml:space="preserve">Link </w:t>
        </w:r>
        <w:proofErr w:type="gramStart"/>
        <w:r w:rsidR="00C64843">
          <w:rPr>
            <w:rStyle w:val="Hyperlink"/>
          </w:rPr>
          <w:t>to  40</w:t>
        </w:r>
        <w:proofErr w:type="gramEnd"/>
        <w:r w:rsidR="00C64843">
          <w:rPr>
            <w:rStyle w:val="Hyperlink"/>
          </w:rPr>
          <w:t xml:space="preserve"> CFR Part 75, Appendix F</w:t>
        </w:r>
      </w:hyperlink>
      <w:r w:rsidR="00C64843">
        <w:t xml:space="preserve"> </w:t>
      </w:r>
    </w:p>
    <w:p w:rsidR="00F21778" w:rsidRDefault="00F21778" w:rsidP="0099372B">
      <w:pPr>
        <w:pStyle w:val="ListParagraph"/>
        <w:spacing w:after="120" w:line="240" w:lineRule="auto"/>
        <w:ind w:left="0"/>
        <w:rPr>
          <w:rFonts w:ascii="Times New Roman" w:hAnsi="Times New Roman"/>
        </w:rPr>
        <w:sectPr w:rsidR="00F21778" w:rsidSect="00911769">
          <w:headerReference w:type="even" r:id="rId109"/>
          <w:headerReference w:type="default" r:id="rId110"/>
          <w:footerReference w:type="default" r:id="rId111"/>
          <w:headerReference w:type="first" r:id="rId112"/>
          <w:pgSz w:w="12240" w:h="15840" w:code="1"/>
          <w:pgMar w:top="720" w:right="1152" w:bottom="720" w:left="1152" w:header="720" w:footer="446" w:gutter="0"/>
          <w:paperSrc w:first="16640" w:other="16640"/>
          <w:pgNumType w:start="1"/>
          <w:cols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9768A8">
      <w:pPr>
        <w:numPr>
          <w:ilvl w:val="1"/>
          <w:numId w:val="19"/>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1"/>
          <w:numId w:val="19"/>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9768A8">
      <w:pPr>
        <w:numPr>
          <w:ilvl w:val="0"/>
          <w:numId w:val="19"/>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9768A8">
      <w:pPr>
        <w:numPr>
          <w:ilvl w:val="1"/>
          <w:numId w:val="19"/>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lastRenderedPageBreak/>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694913">
        <w:rPr>
          <w:szCs w:val="22"/>
        </w:rPr>
        <w:t>X</w:t>
      </w:r>
      <w:r w:rsidRPr="00E03C4C">
        <w:rPr>
          <w:szCs w:val="22"/>
        </w:rPr>
        <w:t>);</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694913">
        <w:rPr>
          <w:szCs w:val="22"/>
        </w:rPr>
        <w:t>X</w:t>
      </w:r>
      <w:r w:rsidRPr="00E03C4C">
        <w:rPr>
          <w:szCs w:val="22"/>
        </w:rPr>
        <w:t>);</w:t>
      </w:r>
      <w:r w:rsidR="006C3405">
        <w:rPr>
          <w:i/>
          <w:szCs w:val="22"/>
        </w:rPr>
        <w:t xml:space="preserve"> </w:t>
      </w:r>
    </w:p>
    <w:p w:rsidR="00E72867" w:rsidRPr="00E03C4C" w:rsidRDefault="00E72867" w:rsidP="009768A8">
      <w:pPr>
        <w:numPr>
          <w:ilvl w:val="1"/>
          <w:numId w:val="19"/>
        </w:numPr>
        <w:spacing w:after="6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w:t>
      </w:r>
      <w:r w:rsidR="00532E3B" w:rsidRPr="008A0287">
        <w:rPr>
          <w:szCs w:val="22"/>
        </w:rPr>
        <w:t>X</w:t>
      </w:r>
      <w:r w:rsidRPr="00E03C4C">
        <w:rPr>
          <w:szCs w:val="22"/>
        </w:rPr>
        <w: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9768A8">
      <w:pPr>
        <w:numPr>
          <w:ilvl w:val="1"/>
          <w:numId w:val="19"/>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9768A8">
      <w:pPr>
        <w:numPr>
          <w:ilvl w:val="1"/>
          <w:numId w:val="19"/>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E72867" w:rsidRPr="00E03C4C" w:rsidRDefault="00E72867" w:rsidP="009768A8">
      <w:pPr>
        <w:numPr>
          <w:ilvl w:val="0"/>
          <w:numId w:val="19"/>
        </w:numPr>
        <w:spacing w:after="120"/>
        <w:rPr>
          <w:szCs w:val="22"/>
        </w:rPr>
      </w:pPr>
      <w:r w:rsidRPr="00E03C4C">
        <w:rPr>
          <w:szCs w:val="22"/>
        </w:rPr>
        <w:t>When</w:t>
      </w:r>
      <w:r w:rsidR="006C3405">
        <w:rPr>
          <w:szCs w:val="22"/>
        </w:rPr>
        <w:t xml:space="preserve"> </w:t>
      </w:r>
      <w:r w:rsidRPr="00E03C4C">
        <w:rPr>
          <w:szCs w:val="22"/>
        </w:rPr>
        <w:t>requested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within</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furnish</w:t>
      </w:r>
      <w:r w:rsidR="006C3405">
        <w:rPr>
          <w:szCs w:val="22"/>
        </w:rPr>
        <w:t xml:space="preserve"> </w:t>
      </w:r>
      <w:r w:rsidRPr="00E03C4C">
        <w:rPr>
          <w:szCs w:val="22"/>
        </w:rPr>
        <w:t>any</w:t>
      </w:r>
      <w:r w:rsidR="006C3405">
        <w:rPr>
          <w:szCs w:val="22"/>
        </w:rPr>
        <w:t xml:space="preserve"> </w:t>
      </w:r>
      <w:r w:rsidRPr="00E03C4C">
        <w:rPr>
          <w:szCs w:val="22"/>
        </w:rPr>
        <w:t>information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which</w:t>
      </w:r>
      <w:r w:rsidR="006C3405">
        <w:rPr>
          <w:szCs w:val="22"/>
        </w:rPr>
        <w:t xml:space="preserve"> </w:t>
      </w:r>
      <w:r w:rsidRPr="00E03C4C">
        <w:rPr>
          <w:szCs w:val="22"/>
        </w:rPr>
        <w:t>is</w:t>
      </w:r>
      <w:r w:rsidR="006C3405">
        <w:rPr>
          <w:szCs w:val="22"/>
        </w:rPr>
        <w:t xml:space="preserve"> </w:t>
      </w:r>
      <w:r w:rsidRPr="00E03C4C">
        <w:rPr>
          <w:szCs w:val="22"/>
        </w:rPr>
        <w:t>needed</w:t>
      </w:r>
      <w:r w:rsidR="006C3405">
        <w:rPr>
          <w:szCs w:val="22"/>
        </w:rPr>
        <w:t xml:space="preserve"> </w:t>
      </w:r>
      <w:r w:rsidRPr="00E03C4C">
        <w:rPr>
          <w:szCs w:val="22"/>
        </w:rPr>
        <w:t>to</w:t>
      </w:r>
      <w:r w:rsidR="006C3405">
        <w:rPr>
          <w:szCs w:val="22"/>
        </w:rPr>
        <w:t xml:space="preserve"> </w:t>
      </w:r>
      <w:r w:rsidRPr="00E03C4C">
        <w:rPr>
          <w:szCs w:val="22"/>
        </w:rPr>
        <w:t>determine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If</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becomes</w:t>
      </w:r>
      <w:r w:rsidR="006C3405">
        <w:rPr>
          <w:szCs w:val="22"/>
        </w:rPr>
        <w:t xml:space="preserve"> </w:t>
      </w:r>
      <w:r w:rsidRPr="00E03C4C">
        <w:rPr>
          <w:szCs w:val="22"/>
        </w:rPr>
        <w:t>aware</w:t>
      </w:r>
      <w:r w:rsidR="006C3405">
        <w:rPr>
          <w:szCs w:val="22"/>
        </w:rPr>
        <w:t xml:space="preserve"> </w:t>
      </w:r>
      <w:r w:rsidRPr="00E03C4C">
        <w:rPr>
          <w:szCs w:val="22"/>
        </w:rPr>
        <w:t>that</w:t>
      </w:r>
      <w:r w:rsidR="006C3405">
        <w:rPr>
          <w:szCs w:val="22"/>
        </w:rPr>
        <w:t xml:space="preserve"> </w:t>
      </w:r>
      <w:r w:rsidRPr="00E03C4C">
        <w:rPr>
          <w:szCs w:val="22"/>
        </w:rPr>
        <w:t>relevant</w:t>
      </w:r>
      <w:r w:rsidR="006C3405">
        <w:rPr>
          <w:szCs w:val="22"/>
        </w:rPr>
        <w:t xml:space="preserve"> </w:t>
      </w:r>
      <w:r w:rsidRPr="00E03C4C">
        <w:rPr>
          <w:szCs w:val="22"/>
        </w:rPr>
        <w:t>facts</w:t>
      </w:r>
      <w:r w:rsidR="006C3405">
        <w:rPr>
          <w:szCs w:val="22"/>
        </w:rPr>
        <w:t xml:space="preserve"> </w:t>
      </w:r>
      <w:r w:rsidRPr="00E03C4C">
        <w:rPr>
          <w:szCs w:val="22"/>
        </w:rPr>
        <w:t>were</w:t>
      </w:r>
      <w:r w:rsidR="006C3405">
        <w:rPr>
          <w:szCs w:val="22"/>
        </w:rPr>
        <w:t xml:space="preserve"> </w:t>
      </w:r>
      <w:r w:rsidRPr="00E03C4C">
        <w:rPr>
          <w:szCs w:val="22"/>
        </w:rPr>
        <w:t>not</w:t>
      </w:r>
      <w:r w:rsidR="006C3405">
        <w:rPr>
          <w:szCs w:val="22"/>
        </w:rPr>
        <w:t xml:space="preserve"> </w:t>
      </w:r>
      <w:r w:rsidRPr="00E03C4C">
        <w:rPr>
          <w:szCs w:val="22"/>
        </w:rPr>
        <w:t>submitted</w:t>
      </w:r>
      <w:r w:rsidR="006C3405">
        <w:rPr>
          <w:szCs w:val="22"/>
        </w:rPr>
        <w:t xml:space="preserve"> </w:t>
      </w:r>
      <w:r w:rsidRPr="00E03C4C">
        <w:rPr>
          <w:szCs w:val="22"/>
        </w:rPr>
        <w:t>or</w:t>
      </w:r>
      <w:r w:rsidR="006C3405">
        <w:rPr>
          <w:szCs w:val="22"/>
        </w:rPr>
        <w:t xml:space="preserve"> </w:t>
      </w:r>
      <w:r w:rsidRPr="00E03C4C">
        <w:rPr>
          <w:szCs w:val="22"/>
        </w:rPr>
        <w:t>were</w:t>
      </w:r>
      <w:r w:rsidR="006C3405">
        <w:rPr>
          <w:szCs w:val="22"/>
        </w:rPr>
        <w:t xml:space="preserve"> </w:t>
      </w:r>
      <w:r w:rsidRPr="00E03C4C">
        <w:rPr>
          <w:szCs w:val="22"/>
        </w:rPr>
        <w:t>incorrect</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report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such</w:t>
      </w:r>
      <w:r w:rsidR="006C3405">
        <w:rPr>
          <w:szCs w:val="22"/>
        </w:rPr>
        <w:t xml:space="preserve"> </w:t>
      </w:r>
      <w:r w:rsidRPr="00E03C4C">
        <w:rPr>
          <w:szCs w:val="22"/>
        </w:rPr>
        <w:t>facts</w:t>
      </w:r>
      <w:r w:rsidR="006C3405">
        <w:rPr>
          <w:szCs w:val="22"/>
        </w:rPr>
        <w:t xml:space="preserve"> </w:t>
      </w:r>
      <w:r w:rsidRPr="00E03C4C">
        <w:rPr>
          <w:szCs w:val="22"/>
        </w:rPr>
        <w:t>or</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corrected</w:t>
      </w:r>
      <w:r w:rsidR="006C3405">
        <w:rPr>
          <w:szCs w:val="22"/>
        </w:rPr>
        <w:t xml:space="preserve"> </w:t>
      </w:r>
      <w:r w:rsidRPr="00E03C4C">
        <w:rPr>
          <w:szCs w:val="22"/>
        </w:rPr>
        <w:t>promptly.</w:t>
      </w:r>
    </w:p>
    <w:p w:rsidR="009E0266" w:rsidRDefault="009E0266" w:rsidP="00E72867">
      <w:pPr>
        <w:spacing w:after="120"/>
        <w:rPr>
          <w:szCs w:val="22"/>
        </w:rPr>
        <w:sectPr w:rsidR="009E0266" w:rsidSect="00911769">
          <w:headerReference w:type="even" r:id="rId113"/>
          <w:headerReference w:type="default" r:id="rId114"/>
          <w:footerReference w:type="default" r:id="rId115"/>
          <w:headerReference w:type="first" r:id="rId116"/>
          <w:pgSz w:w="12240" w:h="15840" w:code="1"/>
          <w:pgMar w:top="720" w:right="1152" w:bottom="720" w:left="1152" w:header="720" w:footer="446" w:gutter="0"/>
          <w:paperSrc w:first="16640" w:other="16640"/>
          <w:pgNumType w:start="1"/>
          <w:cols w:space="720"/>
        </w:sectPr>
      </w:pPr>
    </w:p>
    <w:p w:rsidR="00A44FE2" w:rsidRPr="00AD69DF" w:rsidRDefault="00A44FE2" w:rsidP="00A44FE2">
      <w:pPr>
        <w:spacing w:after="120"/>
        <w:rPr>
          <w:b/>
          <w:smallCaps/>
          <w:szCs w:val="22"/>
        </w:rPr>
      </w:pPr>
      <w:r w:rsidRPr="00AD69DF">
        <w:rPr>
          <w:b/>
          <w:smallCaps/>
          <w:szCs w:val="22"/>
        </w:rPr>
        <w:lastRenderedPageBreak/>
        <w:t>NSPS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New Source Performance Standard of 40 CFR 60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60.1 Applicability.</w:t>
      </w:r>
      <w:proofErr w:type="gramEnd"/>
    </w:p>
    <w:p w:rsidR="00A44FE2" w:rsidRPr="00AD69DF" w:rsidRDefault="00A44FE2" w:rsidP="00A44FE2">
      <w:pPr>
        <w:spacing w:after="120"/>
        <w:rPr>
          <w:szCs w:val="22"/>
        </w:rPr>
      </w:pPr>
      <w:r w:rsidRPr="00AD69DF">
        <w:rPr>
          <w:szCs w:val="22"/>
        </w:rPr>
        <w:t>§ 60.</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60.</w:t>
      </w:r>
      <w:r w:rsidRPr="00AD69DF">
        <w:rPr>
          <w:bCs/>
        </w:rPr>
        <w:t>3</w:t>
      </w:r>
      <w:r w:rsidRPr="00AD69DF">
        <w:rPr>
          <w:szCs w:val="22"/>
        </w:rPr>
        <w:t xml:space="preserve"> Units and abbreviations.</w:t>
      </w:r>
    </w:p>
    <w:p w:rsidR="00A44FE2" w:rsidRPr="00AD69DF" w:rsidRDefault="00A44FE2" w:rsidP="00A44FE2">
      <w:pPr>
        <w:spacing w:after="120"/>
        <w:rPr>
          <w:szCs w:val="22"/>
        </w:rPr>
      </w:pPr>
      <w:proofErr w:type="gramStart"/>
      <w:r w:rsidRPr="00AD69DF">
        <w:rPr>
          <w:szCs w:val="22"/>
        </w:rPr>
        <w:t>§ 60.</w:t>
      </w:r>
      <w:r w:rsidRPr="00AD69DF">
        <w:rPr>
          <w:bCs/>
        </w:rPr>
        <w:t>4</w:t>
      </w:r>
      <w:r w:rsidRPr="00AD69DF">
        <w:rPr>
          <w:szCs w:val="22"/>
        </w:rPr>
        <w:t xml:space="preserve"> Address</w:t>
      </w:r>
      <w:proofErr w:type="gramEnd"/>
      <w:r w:rsidRPr="00AD69DF">
        <w:rPr>
          <w:szCs w:val="22"/>
        </w:rPr>
        <w:t>.</w:t>
      </w:r>
    </w:p>
    <w:p w:rsidR="00A44FE2" w:rsidRPr="00AD69DF" w:rsidRDefault="00A44FE2" w:rsidP="00A44FE2">
      <w:pPr>
        <w:spacing w:after="120"/>
        <w:rPr>
          <w:szCs w:val="22"/>
        </w:rPr>
      </w:pPr>
      <w:r w:rsidRPr="00AD69DF">
        <w:rPr>
          <w:szCs w:val="22"/>
        </w:rPr>
        <w:t>§ 60.</w:t>
      </w:r>
      <w:r w:rsidRPr="00AD69DF">
        <w:rPr>
          <w:bCs/>
        </w:rPr>
        <w:t>5</w:t>
      </w:r>
      <w:r w:rsidRPr="00AD69DF">
        <w:rPr>
          <w:szCs w:val="22"/>
        </w:rPr>
        <w:t xml:space="preserve"> Determination of construction or modification.</w:t>
      </w:r>
    </w:p>
    <w:p w:rsidR="00A44FE2" w:rsidRPr="00AD69DF" w:rsidRDefault="00A44FE2" w:rsidP="00A44FE2">
      <w:pPr>
        <w:spacing w:after="120"/>
        <w:rPr>
          <w:szCs w:val="22"/>
        </w:rPr>
      </w:pPr>
      <w:r w:rsidRPr="00AD69DF">
        <w:rPr>
          <w:szCs w:val="22"/>
        </w:rPr>
        <w:t>§ 60.</w:t>
      </w:r>
      <w:r w:rsidRPr="00AD69DF">
        <w:rPr>
          <w:bCs/>
        </w:rPr>
        <w:t>6</w:t>
      </w:r>
      <w:r w:rsidRPr="00AD69DF">
        <w:rPr>
          <w:szCs w:val="22"/>
        </w:rPr>
        <w:t xml:space="preserve"> Review of plans.</w:t>
      </w:r>
    </w:p>
    <w:p w:rsidR="00A44FE2" w:rsidRPr="00AD69DF" w:rsidRDefault="00A44FE2" w:rsidP="00A44FE2">
      <w:pPr>
        <w:spacing w:after="120"/>
        <w:rPr>
          <w:szCs w:val="22"/>
        </w:rPr>
      </w:pPr>
      <w:proofErr w:type="gramStart"/>
      <w:r w:rsidRPr="00AD69DF">
        <w:rPr>
          <w:szCs w:val="22"/>
        </w:rPr>
        <w:t>§ 60.7 Notification</w:t>
      </w:r>
      <w:proofErr w:type="gramEnd"/>
      <w:r w:rsidRPr="00AD69DF">
        <w:rPr>
          <w:szCs w:val="22"/>
        </w:rPr>
        <w:t xml:space="preserve"> and Record Keeping.</w:t>
      </w:r>
    </w:p>
    <w:p w:rsidR="00A44FE2" w:rsidRPr="00AD69DF" w:rsidRDefault="00A44FE2" w:rsidP="00A44FE2">
      <w:pPr>
        <w:spacing w:after="120"/>
        <w:rPr>
          <w:szCs w:val="22"/>
        </w:rPr>
      </w:pPr>
      <w:r w:rsidRPr="00AD69DF">
        <w:rPr>
          <w:szCs w:val="22"/>
        </w:rPr>
        <w:t>§ 60.8 Performance Tests.</w:t>
      </w:r>
    </w:p>
    <w:p w:rsidR="00A44FE2" w:rsidRPr="00AD69DF" w:rsidRDefault="00A44FE2" w:rsidP="00A44FE2">
      <w:pPr>
        <w:spacing w:after="120"/>
        <w:rPr>
          <w:szCs w:val="22"/>
        </w:rPr>
      </w:pPr>
      <w:r w:rsidRPr="00AD69DF">
        <w:rPr>
          <w:szCs w:val="22"/>
        </w:rPr>
        <w:t>§ 60.9 Availability of information.</w:t>
      </w:r>
    </w:p>
    <w:p w:rsidR="00A44FE2" w:rsidRPr="00AD69DF" w:rsidRDefault="00A44FE2" w:rsidP="00A44FE2">
      <w:pPr>
        <w:spacing w:after="120"/>
        <w:rPr>
          <w:szCs w:val="22"/>
        </w:rPr>
      </w:pPr>
      <w:proofErr w:type="gramStart"/>
      <w:r w:rsidRPr="00AD69DF">
        <w:rPr>
          <w:szCs w:val="22"/>
        </w:rPr>
        <w:t>§ 60.10 State Authority</w:t>
      </w:r>
      <w:proofErr w:type="gramEnd"/>
      <w:r w:rsidRPr="00AD69DF">
        <w:rPr>
          <w:szCs w:val="22"/>
        </w:rPr>
        <w:t>.</w:t>
      </w:r>
    </w:p>
    <w:p w:rsidR="00A44FE2" w:rsidRPr="00AD69DF" w:rsidRDefault="00A44FE2" w:rsidP="00A44FE2">
      <w:pPr>
        <w:spacing w:after="120"/>
        <w:rPr>
          <w:szCs w:val="22"/>
        </w:rPr>
      </w:pPr>
      <w:proofErr w:type="gramStart"/>
      <w:r w:rsidRPr="00AD69DF">
        <w:rPr>
          <w:szCs w:val="22"/>
        </w:rPr>
        <w:t>§ 60.11 Compliance with Standards and Maintenance Requirements.</w:t>
      </w:r>
      <w:proofErr w:type="gramEnd"/>
    </w:p>
    <w:p w:rsidR="00A44FE2" w:rsidRPr="00AD69DF" w:rsidRDefault="00A44FE2" w:rsidP="00A44FE2">
      <w:pPr>
        <w:spacing w:after="120"/>
        <w:rPr>
          <w:szCs w:val="22"/>
        </w:rPr>
      </w:pPr>
      <w:proofErr w:type="gramStart"/>
      <w:r w:rsidRPr="00AD69DF">
        <w:rPr>
          <w:szCs w:val="22"/>
        </w:rPr>
        <w:t>§ 60.12 Circumvention.</w:t>
      </w:r>
      <w:proofErr w:type="gramEnd"/>
    </w:p>
    <w:p w:rsidR="00A44FE2" w:rsidRPr="00AD69DF" w:rsidRDefault="00A44FE2" w:rsidP="00A44FE2">
      <w:pPr>
        <w:spacing w:after="120"/>
        <w:rPr>
          <w:szCs w:val="22"/>
        </w:rPr>
      </w:pPr>
      <w:r w:rsidRPr="00AD69DF">
        <w:rPr>
          <w:szCs w:val="22"/>
        </w:rPr>
        <w:t>§ 60.13 Monitoring Requirements.</w:t>
      </w:r>
    </w:p>
    <w:p w:rsidR="00A44FE2" w:rsidRPr="00AD69DF" w:rsidRDefault="00A44FE2" w:rsidP="00A44FE2">
      <w:pPr>
        <w:spacing w:after="120"/>
        <w:rPr>
          <w:szCs w:val="22"/>
        </w:rPr>
      </w:pPr>
      <w:proofErr w:type="gramStart"/>
      <w:r w:rsidRPr="00AD69DF">
        <w:rPr>
          <w:szCs w:val="22"/>
        </w:rPr>
        <w:t>§ 60.14 Modification</w:t>
      </w:r>
      <w:proofErr w:type="gramEnd"/>
      <w:r w:rsidRPr="00AD69DF">
        <w:rPr>
          <w:szCs w:val="22"/>
        </w:rPr>
        <w:t>.</w:t>
      </w:r>
    </w:p>
    <w:p w:rsidR="00A44FE2" w:rsidRPr="00AD69DF" w:rsidRDefault="00A44FE2" w:rsidP="00A44FE2">
      <w:pPr>
        <w:spacing w:after="120"/>
        <w:rPr>
          <w:szCs w:val="22"/>
        </w:rPr>
      </w:pPr>
      <w:r w:rsidRPr="00AD69DF">
        <w:rPr>
          <w:szCs w:val="22"/>
        </w:rPr>
        <w:t>§ 60.15 Reconstruction.</w:t>
      </w:r>
    </w:p>
    <w:p w:rsidR="00A44FE2" w:rsidRPr="00AD69DF" w:rsidRDefault="00A44FE2" w:rsidP="00A44FE2">
      <w:pPr>
        <w:spacing w:after="120"/>
        <w:rPr>
          <w:szCs w:val="22"/>
        </w:rPr>
      </w:pPr>
      <w:r w:rsidRPr="00AD69DF">
        <w:rPr>
          <w:szCs w:val="22"/>
        </w:rPr>
        <w:t>§ 60.16 Priority List.</w:t>
      </w:r>
    </w:p>
    <w:p w:rsidR="00A44FE2" w:rsidRPr="00AD69DF" w:rsidRDefault="00A44FE2" w:rsidP="00A44FE2">
      <w:pPr>
        <w:spacing w:after="120"/>
        <w:rPr>
          <w:szCs w:val="22"/>
        </w:rPr>
      </w:pPr>
      <w:r w:rsidRPr="00AD69DF">
        <w:rPr>
          <w:szCs w:val="22"/>
        </w:rPr>
        <w:t>§ 60.17 Incorporations by Reference.</w:t>
      </w:r>
    </w:p>
    <w:p w:rsidR="00A44FE2" w:rsidRPr="00AD69DF" w:rsidRDefault="00A44FE2" w:rsidP="00A44FE2">
      <w:pPr>
        <w:spacing w:after="120"/>
        <w:rPr>
          <w:szCs w:val="22"/>
        </w:rPr>
      </w:pPr>
      <w:r w:rsidRPr="00AD69DF">
        <w:rPr>
          <w:szCs w:val="22"/>
        </w:rPr>
        <w:t>§ 60.18 General Control Device Requirements.</w:t>
      </w:r>
    </w:p>
    <w:p w:rsidR="00A44FE2" w:rsidRPr="00AD69DF" w:rsidRDefault="00A44FE2" w:rsidP="00A44FE2">
      <w:pPr>
        <w:spacing w:after="120"/>
        <w:rPr>
          <w:szCs w:val="22"/>
        </w:rPr>
      </w:pPr>
      <w:r w:rsidRPr="00AD69DF">
        <w:rPr>
          <w:szCs w:val="22"/>
        </w:rPr>
        <w:t>§ 60.19 General Notification and Reporting Requirements.</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Pr="00AD69DF" w:rsidRDefault="00C754B0" w:rsidP="00A44FE2">
      <w:pPr>
        <w:spacing w:after="120"/>
        <w:rPr>
          <w:iCs/>
          <w:szCs w:val="22"/>
        </w:rPr>
      </w:pPr>
      <w:hyperlink r:id="rId117" w:history="1">
        <w:r w:rsidR="00A44FE2" w:rsidRPr="00AD69DF">
          <w:rPr>
            <w:iCs/>
            <w:color w:val="0000FF"/>
            <w:u w:val="single"/>
          </w:rPr>
          <w:t>NSPS Subpart A</w:t>
        </w:r>
      </w:hyperlink>
      <w:r w:rsidR="00A44FE2" w:rsidRPr="00AD69DF">
        <w:rPr>
          <w:iCs/>
          <w:szCs w:val="22"/>
        </w:rPr>
        <w:t xml:space="preserve"> </w:t>
      </w:r>
    </w:p>
    <w:p w:rsidR="00A44FE2" w:rsidRPr="00AD69DF" w:rsidRDefault="00A44FE2" w:rsidP="00A44FE2">
      <w:pPr>
        <w:spacing w:after="120"/>
        <w:rPr>
          <w:b/>
          <w:smallCaps/>
          <w:szCs w:val="22"/>
        </w:rPr>
      </w:pPr>
      <w:r w:rsidRPr="00AD69DF">
        <w:rPr>
          <w:b/>
          <w:smallCaps/>
          <w:szCs w:val="22"/>
        </w:rPr>
        <w:t>NESHAP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National Emission Standards for Hazardous Air Pollutants of 40 CFR 63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63.1 Applicability.</w:t>
      </w:r>
      <w:proofErr w:type="gramEnd"/>
    </w:p>
    <w:p w:rsidR="00A44FE2" w:rsidRPr="00AD69DF" w:rsidRDefault="00A44FE2" w:rsidP="00A44FE2">
      <w:pPr>
        <w:spacing w:after="120"/>
        <w:rPr>
          <w:szCs w:val="22"/>
        </w:rPr>
      </w:pPr>
      <w:r w:rsidRPr="00AD69DF">
        <w:rPr>
          <w:szCs w:val="22"/>
        </w:rPr>
        <w:t>§ 63.</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63.</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63.</w:t>
      </w:r>
      <w:r w:rsidRPr="00AD69DF">
        <w:rPr>
          <w:bCs/>
        </w:rPr>
        <w:t>4</w:t>
      </w:r>
      <w:r w:rsidRPr="00AD69DF">
        <w:rPr>
          <w:szCs w:val="22"/>
        </w:rPr>
        <w:t xml:space="preserve"> Prohibited Activities and Circumvention.</w:t>
      </w:r>
    </w:p>
    <w:p w:rsidR="00A44FE2" w:rsidRPr="00AD69DF" w:rsidRDefault="00A44FE2" w:rsidP="00A44FE2">
      <w:pPr>
        <w:spacing w:after="120"/>
        <w:rPr>
          <w:szCs w:val="22"/>
        </w:rPr>
      </w:pPr>
      <w:r w:rsidRPr="00AD69DF">
        <w:rPr>
          <w:szCs w:val="22"/>
        </w:rPr>
        <w:t>§ 63.</w:t>
      </w:r>
      <w:r w:rsidRPr="00AD69DF">
        <w:rPr>
          <w:bCs/>
        </w:rPr>
        <w:t>5</w:t>
      </w:r>
      <w:r w:rsidRPr="00AD69DF">
        <w:rPr>
          <w:szCs w:val="22"/>
        </w:rPr>
        <w:t xml:space="preserve"> Preconstruction Review and Notification Requirements.</w:t>
      </w:r>
    </w:p>
    <w:p w:rsidR="00A44FE2" w:rsidRPr="00AD69DF" w:rsidRDefault="00A44FE2" w:rsidP="00A44FE2">
      <w:pPr>
        <w:spacing w:after="120"/>
        <w:rPr>
          <w:szCs w:val="22"/>
        </w:rPr>
      </w:pPr>
      <w:proofErr w:type="gramStart"/>
      <w:r w:rsidRPr="00AD69DF">
        <w:rPr>
          <w:szCs w:val="22"/>
        </w:rPr>
        <w:lastRenderedPageBreak/>
        <w:t>§ 63.6 Compliance with Standards and Maintenance Requirements.</w:t>
      </w:r>
      <w:proofErr w:type="gramEnd"/>
    </w:p>
    <w:p w:rsidR="00A44FE2" w:rsidRPr="00AD69DF" w:rsidRDefault="00A44FE2" w:rsidP="00A44FE2">
      <w:pPr>
        <w:spacing w:after="120"/>
        <w:rPr>
          <w:szCs w:val="22"/>
        </w:rPr>
      </w:pPr>
      <w:r w:rsidRPr="00AD69DF">
        <w:rPr>
          <w:szCs w:val="22"/>
        </w:rPr>
        <w:t xml:space="preserve">§ 63.7 Performance Testing Requirements. </w:t>
      </w:r>
    </w:p>
    <w:p w:rsidR="00A44FE2" w:rsidRPr="00AD69DF" w:rsidRDefault="00A44FE2" w:rsidP="00A44FE2">
      <w:pPr>
        <w:spacing w:after="120"/>
        <w:rPr>
          <w:szCs w:val="22"/>
        </w:rPr>
      </w:pPr>
      <w:r w:rsidRPr="00AD69DF">
        <w:rPr>
          <w:szCs w:val="22"/>
        </w:rPr>
        <w:t>§ 63.8 Monitoring Requirements.</w:t>
      </w:r>
    </w:p>
    <w:p w:rsidR="00A44FE2" w:rsidRPr="00AD69DF" w:rsidRDefault="00A44FE2" w:rsidP="00A44FE2">
      <w:pPr>
        <w:spacing w:after="120"/>
        <w:rPr>
          <w:szCs w:val="22"/>
        </w:rPr>
      </w:pPr>
      <w:r w:rsidRPr="00AD69DF">
        <w:rPr>
          <w:szCs w:val="22"/>
        </w:rPr>
        <w:t xml:space="preserve">§ 63.9 Notification Requirements. </w:t>
      </w:r>
    </w:p>
    <w:p w:rsidR="00A44FE2" w:rsidRPr="00AD69DF" w:rsidRDefault="00A44FE2" w:rsidP="00A44FE2">
      <w:pPr>
        <w:spacing w:after="120"/>
        <w:rPr>
          <w:szCs w:val="22"/>
        </w:rPr>
      </w:pPr>
      <w:r w:rsidRPr="00AD69DF">
        <w:rPr>
          <w:szCs w:val="22"/>
        </w:rPr>
        <w:t>§ 63.10 Recordkeeping and Reporting Requirements.</w:t>
      </w:r>
    </w:p>
    <w:p w:rsidR="00A44FE2" w:rsidRPr="00AD69DF" w:rsidRDefault="00A44FE2" w:rsidP="00A44FE2">
      <w:pPr>
        <w:spacing w:after="120"/>
        <w:rPr>
          <w:szCs w:val="22"/>
        </w:rPr>
      </w:pPr>
      <w:r w:rsidRPr="00AD69DF">
        <w:rPr>
          <w:szCs w:val="22"/>
        </w:rPr>
        <w:t>§ 63.11 Control Device Requirements.</w:t>
      </w:r>
    </w:p>
    <w:p w:rsidR="00A44FE2" w:rsidRPr="00AD69DF" w:rsidRDefault="00A44FE2" w:rsidP="00A44FE2">
      <w:pPr>
        <w:spacing w:after="120"/>
        <w:rPr>
          <w:szCs w:val="22"/>
        </w:rPr>
      </w:pPr>
      <w:r w:rsidRPr="00AD69DF">
        <w:rPr>
          <w:szCs w:val="22"/>
        </w:rPr>
        <w:t xml:space="preserve">§ 63.12 State Authority and Delegations. </w:t>
      </w:r>
    </w:p>
    <w:p w:rsidR="00A44FE2" w:rsidRPr="00AD69DF" w:rsidRDefault="00A44FE2" w:rsidP="00A44FE2">
      <w:pPr>
        <w:spacing w:after="120"/>
        <w:rPr>
          <w:szCs w:val="22"/>
        </w:rPr>
      </w:pPr>
      <w:r w:rsidRPr="00AD69DF">
        <w:rPr>
          <w:szCs w:val="22"/>
        </w:rPr>
        <w:t>§ 63.13 Addresses of State Air Pollution Control Agencies and EPA Regional Offices.</w:t>
      </w:r>
    </w:p>
    <w:p w:rsidR="00A44FE2" w:rsidRPr="00AD69DF" w:rsidRDefault="00A44FE2" w:rsidP="00A44FE2">
      <w:pPr>
        <w:spacing w:after="120"/>
        <w:rPr>
          <w:szCs w:val="22"/>
        </w:rPr>
      </w:pPr>
      <w:proofErr w:type="gramStart"/>
      <w:r w:rsidRPr="00AD69DF">
        <w:rPr>
          <w:szCs w:val="22"/>
        </w:rPr>
        <w:t>§ 63.14 Incorporation by Reference.</w:t>
      </w:r>
      <w:proofErr w:type="gramEnd"/>
    </w:p>
    <w:p w:rsidR="00A44FE2" w:rsidRPr="00AD69DF" w:rsidRDefault="00A44FE2" w:rsidP="00A44FE2">
      <w:pPr>
        <w:spacing w:after="120"/>
        <w:rPr>
          <w:szCs w:val="22"/>
        </w:rPr>
      </w:pPr>
      <w:proofErr w:type="gramStart"/>
      <w:r w:rsidRPr="00AD69DF">
        <w:rPr>
          <w:szCs w:val="22"/>
        </w:rPr>
        <w:t>§ 63.15 Availability of Information and Confidentiality.</w:t>
      </w:r>
      <w:proofErr w:type="gramEnd"/>
      <w:r w:rsidRPr="00AD69DF">
        <w:rPr>
          <w:szCs w:val="22"/>
        </w:rPr>
        <w:t xml:space="preserve"> </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8955F4" w:rsidRPr="00C53E38" w:rsidRDefault="00C754B0" w:rsidP="004D7F3B">
      <w:pPr>
        <w:rPr>
          <w:szCs w:val="22"/>
        </w:rPr>
      </w:pPr>
      <w:hyperlink r:id="rId118" w:history="1">
        <w:r w:rsidR="00A44FE2" w:rsidRPr="00AD69DF">
          <w:rPr>
            <w:iCs/>
            <w:color w:val="0000FF"/>
            <w:u w:val="single"/>
          </w:rPr>
          <w:t>NESHAP Subpart A</w:t>
        </w:r>
      </w:hyperlink>
    </w:p>
    <w:sectPr w:rsidR="008955F4" w:rsidRPr="00C53E38" w:rsidSect="00A44FE2">
      <w:headerReference w:type="even" r:id="rId119"/>
      <w:headerReference w:type="default" r:id="rId120"/>
      <w:footerReference w:type="default" r:id="rId121"/>
      <w:headerReference w:type="first" r:id="rId122"/>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631" w:rsidRDefault="00451631">
      <w:r>
        <w:separator/>
      </w:r>
    </w:p>
  </w:endnote>
  <w:endnote w:type="continuationSeparator" w:id="0">
    <w:p w:rsidR="00451631" w:rsidRDefault="004516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E76DAF" w:rsidRDefault="00451631" w:rsidP="00922A3E">
    <w:pPr>
      <w:pBdr>
        <w:top w:val="single" w:sz="6" w:space="1" w:color="auto"/>
      </w:pBdr>
      <w:tabs>
        <w:tab w:val="right" w:pos="9900"/>
      </w:tabs>
      <w:spacing w:before="240"/>
      <w:rPr>
        <w:rStyle w:val="PageNumber"/>
      </w:rPr>
    </w:pPr>
    <w:r w:rsidRPr="00E76DAF">
      <w:rPr>
        <w:rStyle w:val="PageNumber"/>
      </w:rPr>
      <w:t>New Hope Power Company</w:t>
    </w:r>
    <w:r w:rsidRPr="00E76DAF">
      <w:rPr>
        <w:rStyle w:val="PageNumber"/>
      </w:rPr>
      <w:tab/>
      <w:t>Project No. 0990332-021-AC (PSD-FL-</w:t>
    </w:r>
    <w:r w:rsidR="00432E59">
      <w:rPr>
        <w:rStyle w:val="PageNumber"/>
      </w:rPr>
      <w:t>425</w:t>
    </w:r>
    <w:r w:rsidRPr="00E76DAF">
      <w:rPr>
        <w:rStyle w:val="PageNumber"/>
      </w:rPr>
      <w:t>)</w:t>
    </w:r>
  </w:p>
  <w:p w:rsidR="00451631" w:rsidRPr="001C2B86" w:rsidRDefault="00451631" w:rsidP="00922A3E">
    <w:pPr>
      <w:pBdr>
        <w:top w:val="single" w:sz="6" w:space="1" w:color="auto"/>
      </w:pBdr>
      <w:tabs>
        <w:tab w:val="right" w:pos="9900"/>
      </w:tabs>
      <w:rPr>
        <w:rStyle w:val="PageNumber"/>
      </w:rPr>
    </w:pPr>
    <w:r w:rsidRPr="00E76DAF">
      <w:rPr>
        <w:rStyle w:val="PageNumber"/>
      </w:rPr>
      <w:t>Construction of Natural Gas Boiler D</w:t>
    </w:r>
    <w:r w:rsidRPr="00E76DAF">
      <w:rPr>
        <w:rStyle w:val="PageNumber"/>
      </w:rPr>
      <w:tab/>
      <w:t>Palm Beach County</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28" w:rsidRPr="00922A3E" w:rsidRDefault="001E6028" w:rsidP="00C64843">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1E6028" w:rsidRPr="00A744CD" w:rsidRDefault="001E6028" w:rsidP="00C64843">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1E6028" w:rsidRPr="00A744CD" w:rsidRDefault="001E6028">
    <w:pPr>
      <w:pStyle w:val="Footer"/>
      <w:tabs>
        <w:tab w:val="clear" w:pos="4320"/>
        <w:tab w:val="clear" w:pos="8640"/>
        <w:tab w:val="right" w:pos="9360"/>
      </w:tabs>
      <w:jc w:val="center"/>
      <w:rPr>
        <w:sz w:val="20"/>
      </w:rPr>
    </w:pPr>
    <w:r w:rsidRPr="00A744CD">
      <w:rPr>
        <w:sz w:val="20"/>
      </w:rPr>
      <w:t>Page G</w:t>
    </w:r>
    <w:r>
      <w:rPr>
        <w:sz w:val="20"/>
      </w:rPr>
      <w:t>P</w:t>
    </w:r>
    <w:r w:rsidRPr="00A744CD">
      <w:rPr>
        <w:sz w:val="20"/>
      </w:rPr>
      <w:t>-</w:t>
    </w:r>
    <w:r w:rsidR="00C754B0" w:rsidRPr="00A744CD">
      <w:rPr>
        <w:sz w:val="20"/>
      </w:rPr>
      <w:fldChar w:fldCharType="begin"/>
    </w:r>
    <w:r w:rsidRPr="00A744CD">
      <w:rPr>
        <w:sz w:val="20"/>
      </w:rPr>
      <w:instrText xml:space="preserve"> PAGE  \* MERGEFORMAT </w:instrText>
    </w:r>
    <w:r w:rsidR="00C754B0" w:rsidRPr="00A744CD">
      <w:rPr>
        <w:sz w:val="20"/>
      </w:rPr>
      <w:fldChar w:fldCharType="separate"/>
    </w:r>
    <w:r w:rsidR="00F4004E">
      <w:rPr>
        <w:noProof/>
        <w:sz w:val="20"/>
      </w:rPr>
      <w:t>2</w:t>
    </w:r>
    <w:r w:rsidR="00C754B0" w:rsidRPr="00A744CD">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922A3E">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922A3E" w:rsidRDefault="00451631" w:rsidP="00922A3E">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922A3E" w:rsidRDefault="00451631">
    <w:pPr>
      <w:pStyle w:val="Footer"/>
      <w:tabs>
        <w:tab w:val="clear" w:pos="4320"/>
        <w:tab w:val="clear" w:pos="8640"/>
        <w:tab w:val="right" w:pos="9360"/>
      </w:tabs>
      <w:jc w:val="center"/>
      <w:rPr>
        <w:sz w:val="20"/>
      </w:rPr>
    </w:pPr>
    <w:r w:rsidRPr="00922A3E">
      <w:rPr>
        <w:sz w:val="20"/>
      </w:rPr>
      <w:t>Page CC-</w:t>
    </w:r>
    <w:r w:rsidR="00C754B0" w:rsidRPr="00922A3E">
      <w:rPr>
        <w:sz w:val="20"/>
      </w:rPr>
      <w:fldChar w:fldCharType="begin"/>
    </w:r>
    <w:r w:rsidRPr="00922A3E">
      <w:rPr>
        <w:sz w:val="20"/>
      </w:rPr>
      <w:instrText xml:space="preserve"> PAGE  \* MERGEFORMAT </w:instrText>
    </w:r>
    <w:r w:rsidR="00C754B0" w:rsidRPr="00922A3E">
      <w:rPr>
        <w:sz w:val="20"/>
      </w:rPr>
      <w:fldChar w:fldCharType="separate"/>
    </w:r>
    <w:r w:rsidR="00F4004E">
      <w:rPr>
        <w:noProof/>
        <w:sz w:val="20"/>
      </w:rPr>
      <w:t>4</w:t>
    </w:r>
    <w:r w:rsidR="00C754B0" w:rsidRPr="00922A3E">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922A3E">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922A3E" w:rsidRDefault="00451631" w:rsidP="00922A3E">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922A3E" w:rsidRDefault="00451631">
    <w:pPr>
      <w:pStyle w:val="Footer"/>
      <w:tabs>
        <w:tab w:val="clear" w:pos="4320"/>
        <w:tab w:val="clear" w:pos="8640"/>
        <w:tab w:val="right" w:pos="9360"/>
      </w:tabs>
      <w:jc w:val="center"/>
      <w:rPr>
        <w:sz w:val="20"/>
      </w:rPr>
    </w:pPr>
    <w:r w:rsidRPr="00922A3E">
      <w:rPr>
        <w:sz w:val="20"/>
      </w:rPr>
      <w:t>Page CEMS-</w:t>
    </w:r>
    <w:r w:rsidR="00C754B0" w:rsidRPr="00922A3E">
      <w:rPr>
        <w:sz w:val="20"/>
      </w:rPr>
      <w:fldChar w:fldCharType="begin"/>
    </w:r>
    <w:r w:rsidRPr="00922A3E">
      <w:rPr>
        <w:sz w:val="20"/>
      </w:rPr>
      <w:instrText xml:space="preserve"> PAGE  \* MERGEFORMAT </w:instrText>
    </w:r>
    <w:r w:rsidR="00C754B0" w:rsidRPr="00922A3E">
      <w:rPr>
        <w:sz w:val="20"/>
      </w:rPr>
      <w:fldChar w:fldCharType="separate"/>
    </w:r>
    <w:r w:rsidR="00F4004E">
      <w:rPr>
        <w:noProof/>
        <w:sz w:val="20"/>
      </w:rPr>
      <w:t>2</w:t>
    </w:r>
    <w:r w:rsidR="00C754B0" w:rsidRPr="00922A3E">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E41D5F">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912ADC" w:rsidRDefault="00451631" w:rsidP="00E41D5F">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912ADC" w:rsidRDefault="00451631">
    <w:pPr>
      <w:pStyle w:val="Footer"/>
      <w:tabs>
        <w:tab w:val="clear" w:pos="4320"/>
        <w:tab w:val="clear" w:pos="8640"/>
        <w:tab w:val="right" w:pos="9360"/>
      </w:tabs>
      <w:jc w:val="center"/>
      <w:rPr>
        <w:sz w:val="20"/>
      </w:rPr>
    </w:pPr>
    <w:r w:rsidRPr="00912ADC">
      <w:rPr>
        <w:sz w:val="20"/>
      </w:rPr>
      <w:t>Page CF-</w:t>
    </w:r>
    <w:r w:rsidR="00C754B0" w:rsidRPr="00912ADC">
      <w:rPr>
        <w:sz w:val="20"/>
      </w:rPr>
      <w:fldChar w:fldCharType="begin"/>
    </w:r>
    <w:r w:rsidRPr="00912ADC">
      <w:rPr>
        <w:sz w:val="20"/>
      </w:rPr>
      <w:instrText xml:space="preserve"> PAGE  \* MERGEFORMAT </w:instrText>
    </w:r>
    <w:r w:rsidR="00C754B0" w:rsidRPr="00912ADC">
      <w:rPr>
        <w:sz w:val="20"/>
      </w:rPr>
      <w:fldChar w:fldCharType="separate"/>
    </w:r>
    <w:r w:rsidR="00F4004E">
      <w:rPr>
        <w:noProof/>
        <w:sz w:val="20"/>
      </w:rPr>
      <w:t>2</w:t>
    </w:r>
    <w:r w:rsidR="00C754B0" w:rsidRPr="00912ADC">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E41D5F">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912ADC" w:rsidRDefault="00451631" w:rsidP="00E41D5F">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912ADC" w:rsidRDefault="00451631">
    <w:pPr>
      <w:pStyle w:val="Footer"/>
      <w:tabs>
        <w:tab w:val="clear" w:pos="4320"/>
        <w:tab w:val="clear" w:pos="8640"/>
        <w:tab w:val="right" w:pos="9360"/>
      </w:tabs>
      <w:jc w:val="center"/>
      <w:rPr>
        <w:sz w:val="20"/>
      </w:rPr>
    </w:pPr>
    <w:r w:rsidRPr="00912ADC">
      <w:rPr>
        <w:sz w:val="20"/>
      </w:rPr>
      <w:t>Page CTR-</w:t>
    </w:r>
    <w:r w:rsidR="00C754B0" w:rsidRPr="00912ADC">
      <w:rPr>
        <w:sz w:val="20"/>
      </w:rPr>
      <w:fldChar w:fldCharType="begin"/>
    </w:r>
    <w:r w:rsidRPr="00912ADC">
      <w:rPr>
        <w:sz w:val="20"/>
      </w:rPr>
      <w:instrText xml:space="preserve"> PAGE  \* MERGEFORMAT </w:instrText>
    </w:r>
    <w:r w:rsidR="00C754B0" w:rsidRPr="00912ADC">
      <w:rPr>
        <w:sz w:val="20"/>
      </w:rPr>
      <w:fldChar w:fldCharType="separate"/>
    </w:r>
    <w:r w:rsidR="00F4004E">
      <w:rPr>
        <w:noProof/>
        <w:sz w:val="20"/>
      </w:rPr>
      <w:t>2</w:t>
    </w:r>
    <w:r w:rsidR="00C754B0" w:rsidRPr="00912ADC">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E41D5F">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A744CD" w:rsidRDefault="00451631" w:rsidP="00E41D5F">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A744CD" w:rsidRDefault="00451631">
    <w:pPr>
      <w:pStyle w:val="Footer"/>
      <w:tabs>
        <w:tab w:val="clear" w:pos="4320"/>
        <w:tab w:val="clear" w:pos="8640"/>
        <w:tab w:val="right" w:pos="9360"/>
      </w:tabs>
      <w:jc w:val="center"/>
      <w:rPr>
        <w:sz w:val="20"/>
      </w:rPr>
    </w:pPr>
    <w:r w:rsidRPr="00A744CD">
      <w:rPr>
        <w:sz w:val="20"/>
      </w:rPr>
      <w:t>Page D</w:t>
    </w:r>
    <w:r>
      <w:rPr>
        <w:sz w:val="20"/>
      </w:rPr>
      <w:t>a</w:t>
    </w:r>
    <w:r w:rsidRPr="00A744CD">
      <w:rPr>
        <w:sz w:val="20"/>
      </w:rPr>
      <w:t>-</w:t>
    </w:r>
    <w:r w:rsidR="00C754B0" w:rsidRPr="00A744CD">
      <w:rPr>
        <w:sz w:val="20"/>
      </w:rPr>
      <w:fldChar w:fldCharType="begin"/>
    </w:r>
    <w:r w:rsidRPr="00A744CD">
      <w:rPr>
        <w:sz w:val="20"/>
      </w:rPr>
      <w:instrText xml:space="preserve"> PAGE  \* MERGEFORMAT </w:instrText>
    </w:r>
    <w:r w:rsidR="00C754B0" w:rsidRPr="00A744CD">
      <w:rPr>
        <w:sz w:val="20"/>
      </w:rPr>
      <w:fldChar w:fldCharType="separate"/>
    </w:r>
    <w:r w:rsidR="00F4004E">
      <w:rPr>
        <w:noProof/>
        <w:sz w:val="20"/>
      </w:rPr>
      <w:t>12</w:t>
    </w:r>
    <w:r w:rsidR="00C754B0" w:rsidRPr="00A744CD">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A24CEF">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A744CD" w:rsidRDefault="00451631" w:rsidP="00A24CEF">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A744CD" w:rsidRDefault="00451631">
    <w:pPr>
      <w:pStyle w:val="Footer"/>
      <w:tabs>
        <w:tab w:val="clear" w:pos="4320"/>
        <w:tab w:val="clear" w:pos="8640"/>
        <w:tab w:val="right" w:pos="9360"/>
      </w:tabs>
      <w:jc w:val="center"/>
      <w:rPr>
        <w:sz w:val="20"/>
      </w:rPr>
    </w:pPr>
    <w:r w:rsidRPr="00A744CD">
      <w:rPr>
        <w:sz w:val="20"/>
      </w:rPr>
      <w:t>Page DDDDD-</w:t>
    </w:r>
    <w:r w:rsidR="00C754B0" w:rsidRPr="00A744CD">
      <w:rPr>
        <w:sz w:val="20"/>
      </w:rPr>
      <w:fldChar w:fldCharType="begin"/>
    </w:r>
    <w:r w:rsidRPr="00A744CD">
      <w:rPr>
        <w:sz w:val="20"/>
      </w:rPr>
      <w:instrText xml:space="preserve"> PAGE  \* MERGEFORMAT </w:instrText>
    </w:r>
    <w:r w:rsidR="00C754B0" w:rsidRPr="00A744CD">
      <w:rPr>
        <w:sz w:val="20"/>
      </w:rPr>
      <w:fldChar w:fldCharType="separate"/>
    </w:r>
    <w:r w:rsidR="00F4004E">
      <w:rPr>
        <w:noProof/>
        <w:sz w:val="20"/>
      </w:rPr>
      <w:t>2</w:t>
    </w:r>
    <w:r w:rsidR="00C754B0" w:rsidRPr="00A744CD">
      <w:rPr>
        <w:sz w:val="20"/>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C64843">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A744CD" w:rsidRDefault="00451631" w:rsidP="00C64843">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A744CD" w:rsidRDefault="00451631">
    <w:pPr>
      <w:pStyle w:val="Footer"/>
      <w:tabs>
        <w:tab w:val="clear" w:pos="4320"/>
        <w:tab w:val="clear" w:pos="8640"/>
        <w:tab w:val="right" w:pos="9360"/>
      </w:tabs>
      <w:jc w:val="center"/>
      <w:rPr>
        <w:sz w:val="20"/>
      </w:rPr>
    </w:pPr>
    <w:r w:rsidRPr="00A744CD">
      <w:rPr>
        <w:sz w:val="20"/>
      </w:rPr>
      <w:t>Page F-</w:t>
    </w:r>
    <w:r w:rsidR="00C754B0" w:rsidRPr="00A744CD">
      <w:rPr>
        <w:sz w:val="20"/>
      </w:rPr>
      <w:fldChar w:fldCharType="begin"/>
    </w:r>
    <w:r w:rsidRPr="00A744CD">
      <w:rPr>
        <w:sz w:val="20"/>
      </w:rPr>
      <w:instrText xml:space="preserve"> PAGE  \* MERGEFORMAT </w:instrText>
    </w:r>
    <w:r w:rsidR="00C754B0" w:rsidRPr="00A744CD">
      <w:rPr>
        <w:sz w:val="20"/>
      </w:rPr>
      <w:fldChar w:fldCharType="separate"/>
    </w:r>
    <w:r w:rsidR="00F4004E">
      <w:rPr>
        <w:noProof/>
        <w:sz w:val="20"/>
      </w:rPr>
      <w:t>5</w:t>
    </w:r>
    <w:r w:rsidR="00C754B0" w:rsidRPr="00A744CD">
      <w:rPr>
        <w:sz w:val="20"/>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922A3E" w:rsidRDefault="00451631" w:rsidP="00C64843">
    <w:pPr>
      <w:pBdr>
        <w:top w:val="single" w:sz="6" w:space="1" w:color="auto"/>
      </w:pBdr>
      <w:tabs>
        <w:tab w:val="right" w:pos="9900"/>
      </w:tabs>
      <w:spacing w:before="240"/>
      <w:rPr>
        <w:rStyle w:val="PageNumber"/>
        <w:sz w:val="20"/>
      </w:rPr>
    </w:pPr>
    <w:r w:rsidRPr="00922A3E">
      <w:rPr>
        <w:rStyle w:val="PageNumber"/>
        <w:sz w:val="20"/>
      </w:rPr>
      <w:t>New Hope Power Company</w:t>
    </w:r>
    <w:r w:rsidRPr="00922A3E">
      <w:rPr>
        <w:rStyle w:val="PageNumber"/>
        <w:sz w:val="20"/>
      </w:rPr>
      <w:tab/>
      <w:t>Project No. 0990332-021-AC (PSD-FL-</w:t>
    </w:r>
    <w:r w:rsidR="00432E59">
      <w:rPr>
        <w:rStyle w:val="PageNumber"/>
        <w:sz w:val="20"/>
      </w:rPr>
      <w:t>425</w:t>
    </w:r>
    <w:r w:rsidRPr="00922A3E">
      <w:rPr>
        <w:rStyle w:val="PageNumber"/>
        <w:sz w:val="20"/>
      </w:rPr>
      <w:t>)</w:t>
    </w:r>
  </w:p>
  <w:p w:rsidR="00451631" w:rsidRPr="00A744CD" w:rsidRDefault="00451631" w:rsidP="00C64843">
    <w:pPr>
      <w:pBdr>
        <w:top w:val="single" w:sz="6" w:space="1" w:color="auto"/>
      </w:pBdr>
      <w:tabs>
        <w:tab w:val="right" w:pos="9900"/>
      </w:tabs>
      <w:rPr>
        <w:rStyle w:val="PageNumber"/>
        <w:sz w:val="20"/>
      </w:rPr>
    </w:pPr>
    <w:r w:rsidRPr="00922A3E">
      <w:rPr>
        <w:rStyle w:val="PageNumber"/>
        <w:sz w:val="20"/>
      </w:rPr>
      <w:t>Construction of Natural Gas Boiler D</w:t>
    </w:r>
    <w:r w:rsidRPr="00922A3E">
      <w:rPr>
        <w:rStyle w:val="PageNumber"/>
        <w:sz w:val="20"/>
      </w:rPr>
      <w:tab/>
      <w:t>Palm Beach County</w:t>
    </w:r>
  </w:p>
  <w:p w:rsidR="00451631" w:rsidRPr="00A744CD" w:rsidRDefault="00451631">
    <w:pPr>
      <w:pStyle w:val="Footer"/>
      <w:tabs>
        <w:tab w:val="clear" w:pos="4320"/>
        <w:tab w:val="clear" w:pos="8640"/>
        <w:tab w:val="right" w:pos="9360"/>
      </w:tabs>
      <w:jc w:val="center"/>
      <w:rPr>
        <w:sz w:val="20"/>
      </w:rPr>
    </w:pPr>
    <w:r w:rsidRPr="00A744CD">
      <w:rPr>
        <w:sz w:val="20"/>
      </w:rPr>
      <w:t>Page GC-</w:t>
    </w:r>
    <w:r w:rsidR="00C754B0" w:rsidRPr="00A744CD">
      <w:rPr>
        <w:sz w:val="20"/>
      </w:rPr>
      <w:fldChar w:fldCharType="begin"/>
    </w:r>
    <w:r w:rsidRPr="00A744CD">
      <w:rPr>
        <w:sz w:val="20"/>
      </w:rPr>
      <w:instrText xml:space="preserve"> PAGE  \* MERGEFORMAT </w:instrText>
    </w:r>
    <w:r w:rsidR="00C754B0" w:rsidRPr="00A744CD">
      <w:rPr>
        <w:sz w:val="20"/>
      </w:rPr>
      <w:fldChar w:fldCharType="separate"/>
    </w:r>
    <w:r w:rsidR="00F4004E">
      <w:rPr>
        <w:noProof/>
        <w:sz w:val="20"/>
      </w:rPr>
      <w:t>2</w:t>
    </w:r>
    <w:r w:rsidR="00C754B0" w:rsidRPr="00A744CD">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631" w:rsidRDefault="00451631">
      <w:r>
        <w:separator/>
      </w:r>
    </w:p>
  </w:footnote>
  <w:footnote w:type="continuationSeparator" w:id="0">
    <w:p w:rsidR="00451631" w:rsidRDefault="00451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Bdr>
        <w:bottom w:val="single" w:sz="4" w:space="1" w:color="auto"/>
      </w:pBdr>
      <w:tabs>
        <w:tab w:val="clear" w:pos="8640"/>
      </w:tabs>
      <w:jc w:val="center"/>
      <w:rPr>
        <w:b/>
        <w:caps/>
      </w:rPr>
    </w:pPr>
    <w:r>
      <w:rPr>
        <w:b/>
        <w:caps/>
      </w:rPr>
      <w:t>SECTION 4.  APPENDICES</w:t>
    </w:r>
  </w:p>
  <w:p w:rsidR="00451631" w:rsidRPr="00D27B2F" w:rsidRDefault="00451631">
    <w:pPr>
      <w:pStyle w:val="Header"/>
      <w:tabs>
        <w:tab w:val="clear" w:pos="8640"/>
      </w:tabs>
      <w:spacing w:after="240"/>
      <w:jc w:val="center"/>
      <w:rPr>
        <w:rFonts w:ascii="Times New Roman Bold" w:hAnsi="Times New Roman Bold"/>
        <w:b/>
        <w:smallCaps/>
      </w:rPr>
    </w:pPr>
    <w:r w:rsidRPr="00D27B2F">
      <w:rPr>
        <w:rFonts w:ascii="Times New Roman Bold" w:hAnsi="Times New Roman Bold"/>
        <w:b/>
        <w:smallCaps/>
      </w:rPr>
      <w:t>Contents</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Bdr>
        <w:bottom w:val="single" w:sz="4" w:space="1" w:color="auto"/>
      </w:pBdr>
      <w:tabs>
        <w:tab w:val="clear" w:pos="8640"/>
      </w:tabs>
      <w:jc w:val="center"/>
      <w:rPr>
        <w:b/>
        <w:caps/>
      </w:rPr>
    </w:pPr>
    <w:r>
      <w:rPr>
        <w:b/>
        <w:caps/>
      </w:rPr>
      <w:t>SECTION 4.  APPENDIX CTR</w:t>
    </w:r>
  </w:p>
  <w:p w:rsidR="00451631" w:rsidRPr="00E41D5F" w:rsidRDefault="00451631">
    <w:pPr>
      <w:pStyle w:val="Header"/>
      <w:tabs>
        <w:tab w:val="clear" w:pos="8640"/>
      </w:tabs>
      <w:spacing w:after="240"/>
      <w:jc w:val="center"/>
      <w:rPr>
        <w:rFonts w:ascii="Times New Roman Bold" w:hAnsi="Times New Roman Bold"/>
        <w:b/>
        <w:smallCaps/>
      </w:rPr>
    </w:pPr>
    <w:r w:rsidRPr="00E41D5F">
      <w:rPr>
        <w:rFonts w:ascii="Times New Roman Bold" w:hAnsi="Times New Roman Bold"/>
        <w:b/>
        <w:smallCaps/>
      </w:rPr>
      <w:t>common testing requirements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Bdr>
        <w:bottom w:val="single" w:sz="4" w:space="1" w:color="auto"/>
      </w:pBdr>
      <w:tabs>
        <w:tab w:val="clear" w:pos="8640"/>
      </w:tabs>
      <w:jc w:val="center"/>
      <w:rPr>
        <w:b/>
        <w:caps/>
      </w:rPr>
    </w:pPr>
    <w:r>
      <w:rPr>
        <w:b/>
        <w:caps/>
      </w:rPr>
      <w:t>SECTION 4.  APPENDIX D</w:t>
    </w:r>
    <w:r>
      <w:rPr>
        <w:b/>
      </w:rPr>
      <w:t>a</w:t>
    </w:r>
  </w:p>
  <w:p w:rsidR="00451631" w:rsidRPr="00E41D5F" w:rsidRDefault="00451631" w:rsidP="00B860D8">
    <w:pPr>
      <w:pStyle w:val="Header"/>
      <w:tabs>
        <w:tab w:val="clear" w:pos="8640"/>
      </w:tabs>
      <w:jc w:val="center"/>
      <w:rPr>
        <w:rFonts w:ascii="Times New Roman Bold" w:hAnsi="Times New Roman Bold"/>
        <w:b/>
        <w:smallCaps/>
      </w:rPr>
    </w:pPr>
    <w:r w:rsidRPr="00E41D5F">
      <w:rPr>
        <w:rFonts w:ascii="Times New Roman Bold" w:hAnsi="Times New Roman Bold"/>
        <w:b/>
        <w:smallCaps/>
      </w:rPr>
      <w:t>nsps subpart D</w:t>
    </w:r>
    <w:r w:rsidRPr="00E41D5F">
      <w:rPr>
        <w:rFonts w:ascii="Times New Roman Bold" w:hAnsi="Times New Roman Bold"/>
        <w:b/>
      </w:rPr>
      <w:t>a</w:t>
    </w:r>
  </w:p>
  <w:p w:rsidR="00451631" w:rsidRPr="00E41D5F" w:rsidRDefault="00451631">
    <w:pPr>
      <w:pStyle w:val="Header"/>
      <w:tabs>
        <w:tab w:val="clear" w:pos="8640"/>
      </w:tabs>
      <w:spacing w:after="240"/>
      <w:jc w:val="center"/>
      <w:rPr>
        <w:rFonts w:ascii="Times New Roman Bold" w:hAnsi="Times New Roman Bold"/>
        <w:b/>
        <w:caps/>
        <w:smallCaps/>
      </w:rPr>
    </w:pPr>
    <w:r w:rsidRPr="00BD26E9">
      <w:rPr>
        <w:b/>
        <w:smallCaps/>
      </w:rPr>
      <w:t>NSPS, 40 CFR 60, Subpart D</w:t>
    </w:r>
    <w:r w:rsidRPr="00BD26E9">
      <w:rPr>
        <w:b/>
      </w:rPr>
      <w:t>a</w:t>
    </w:r>
    <w:r w:rsidRPr="00BD26E9">
      <w:rPr>
        <w:b/>
        <w:smallCaps/>
      </w:rPr>
      <w:t xml:space="preserve"> – Standards of Performance for Electric Utility Steam Generating Units for Which Construction Is Commenced After September 18, 1978</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Bdr>
        <w:bottom w:val="single" w:sz="4" w:space="1" w:color="auto"/>
      </w:pBdr>
      <w:tabs>
        <w:tab w:val="clear" w:pos="8640"/>
      </w:tabs>
      <w:jc w:val="center"/>
      <w:rPr>
        <w:b/>
        <w:caps/>
      </w:rPr>
    </w:pPr>
    <w:r>
      <w:rPr>
        <w:b/>
        <w:caps/>
      </w:rPr>
      <w:t>SECTION 4.  APPENDIX DDDDD</w:t>
    </w:r>
  </w:p>
  <w:p w:rsidR="00451631" w:rsidRPr="00A24CEF" w:rsidRDefault="00451631" w:rsidP="00B860D8">
    <w:pPr>
      <w:pStyle w:val="Header"/>
      <w:tabs>
        <w:tab w:val="clear" w:pos="8640"/>
      </w:tabs>
      <w:jc w:val="center"/>
      <w:rPr>
        <w:rFonts w:ascii="Times New Roman Bold" w:hAnsi="Times New Roman Bold"/>
        <w:b/>
        <w:smallCaps/>
      </w:rPr>
    </w:pPr>
    <w:r w:rsidRPr="00A24CEF">
      <w:rPr>
        <w:rFonts w:ascii="Times New Roman Bold" w:hAnsi="Times New Roman Bold"/>
        <w:b/>
        <w:smallCaps/>
      </w:rPr>
      <w:t>NESHAP subpart DDDDD</w:t>
    </w:r>
  </w:p>
  <w:p w:rsidR="00451631" w:rsidRPr="00A24CEF" w:rsidRDefault="00451631">
    <w:pPr>
      <w:pStyle w:val="Header"/>
      <w:tabs>
        <w:tab w:val="clear" w:pos="8640"/>
      </w:tabs>
      <w:spacing w:after="240"/>
      <w:jc w:val="center"/>
      <w:rPr>
        <w:rFonts w:ascii="Times New Roman Bold" w:hAnsi="Times New Roman Bold"/>
        <w:b/>
        <w:smallCaps/>
      </w:rPr>
    </w:pPr>
    <w:r w:rsidRPr="00A24CEF">
      <w:rPr>
        <w:rFonts w:ascii="Times New Roman Bold" w:hAnsi="Times New Roman Bold"/>
        <w:b/>
        <w:smallCaps/>
      </w:rPr>
      <w:t>Industrial, Commercial, and Institutional Boilers and Process Heaters</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Bdr>
        <w:bottom w:val="single" w:sz="4" w:space="1" w:color="auto"/>
      </w:pBdr>
      <w:tabs>
        <w:tab w:val="clear" w:pos="8640"/>
      </w:tabs>
      <w:jc w:val="center"/>
      <w:rPr>
        <w:b/>
        <w:caps/>
      </w:rPr>
    </w:pPr>
    <w:r>
      <w:rPr>
        <w:b/>
        <w:caps/>
      </w:rPr>
      <w:t>SECTION 4.  APPENDIX F</w:t>
    </w:r>
  </w:p>
  <w:p w:rsidR="00451631" w:rsidRPr="008142F2" w:rsidRDefault="00451631">
    <w:pPr>
      <w:pStyle w:val="Header"/>
      <w:tabs>
        <w:tab w:val="clear" w:pos="8640"/>
      </w:tabs>
      <w:spacing w:after="240"/>
      <w:jc w:val="center"/>
      <w:rPr>
        <w:b/>
        <w:caps/>
      </w:rPr>
    </w:pPr>
    <w:r w:rsidRPr="00B8425E">
      <w:rPr>
        <w:b/>
        <w:caps/>
      </w:rPr>
      <w:t>40 CFR 75, Appendix F, Section 5 – Measurement of Boiler Heat Input Rate</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rsidP="00F21778">
    <w:pPr>
      <w:pStyle w:val="Header"/>
      <w:pBdr>
        <w:bottom w:val="single" w:sz="4" w:space="1" w:color="auto"/>
      </w:pBdr>
      <w:tabs>
        <w:tab w:val="clear" w:pos="8640"/>
      </w:tabs>
      <w:jc w:val="center"/>
      <w:rPr>
        <w:b/>
        <w:caps/>
      </w:rPr>
    </w:pPr>
    <w:r>
      <w:rPr>
        <w:b/>
        <w:caps/>
      </w:rPr>
      <w:t>SECTION 4.  APPENDIX GC</w:t>
    </w:r>
  </w:p>
  <w:p w:rsidR="00451631" w:rsidRPr="00C64843" w:rsidRDefault="00451631" w:rsidP="00F21778">
    <w:pPr>
      <w:pStyle w:val="Header"/>
      <w:tabs>
        <w:tab w:val="clear" w:pos="8640"/>
      </w:tabs>
      <w:spacing w:after="240"/>
      <w:jc w:val="center"/>
      <w:rPr>
        <w:rFonts w:ascii="Times New Roman Bold" w:hAnsi="Times New Roman Bold"/>
        <w:b/>
        <w:smallCaps/>
      </w:rPr>
    </w:pPr>
    <w:r w:rsidRPr="00C64843">
      <w:rPr>
        <w:rFonts w:ascii="Times New Roman Bold" w:hAnsi="Times New Roman Bold"/>
        <w:b/>
        <w:smallCaps/>
      </w:rPr>
      <w:t>General Conditions</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28" w:rsidRDefault="001E6028" w:rsidP="00F21778">
    <w:pPr>
      <w:pStyle w:val="Header"/>
      <w:pBdr>
        <w:bottom w:val="single" w:sz="4" w:space="1" w:color="auto"/>
      </w:pBdr>
      <w:tabs>
        <w:tab w:val="clear" w:pos="8640"/>
      </w:tabs>
      <w:jc w:val="center"/>
      <w:rPr>
        <w:b/>
        <w:caps/>
      </w:rPr>
    </w:pPr>
    <w:r>
      <w:rPr>
        <w:b/>
        <w:caps/>
      </w:rPr>
      <w:t>SECTION 4.  APPENDIX GP</w:t>
    </w:r>
  </w:p>
  <w:p w:rsidR="001E6028" w:rsidRPr="00C64843" w:rsidRDefault="001E6028" w:rsidP="00F21778">
    <w:pPr>
      <w:pStyle w:val="Header"/>
      <w:tabs>
        <w:tab w:val="clear" w:pos="8640"/>
      </w:tabs>
      <w:spacing w:after="240"/>
      <w:jc w:val="center"/>
      <w:rPr>
        <w:rFonts w:ascii="Times New Roman Bold" w:hAnsi="Times New Roman Bold"/>
        <w:b/>
        <w:smallCaps/>
      </w:rPr>
    </w:pPr>
    <w:r w:rsidRPr="00C64843">
      <w:rPr>
        <w:rFonts w:ascii="Times New Roman Bold" w:hAnsi="Times New Roman Bold"/>
        <w:b/>
        <w:smallCaps/>
      </w:rPr>
      <w:t xml:space="preserve">General </w:t>
    </w:r>
    <w:r>
      <w:rPr>
        <w:rFonts w:ascii="Times New Roman Bold" w:hAnsi="Times New Roman Bold"/>
        <w:b/>
        <w:smallCaps/>
      </w:rPr>
      <w:t>Provisions</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Bdr>
        <w:bottom w:val="single" w:sz="4" w:space="1" w:color="auto"/>
      </w:pBdr>
      <w:tabs>
        <w:tab w:val="clear" w:pos="8640"/>
      </w:tabs>
      <w:jc w:val="center"/>
      <w:rPr>
        <w:b/>
        <w:caps/>
      </w:rPr>
    </w:pPr>
    <w:r>
      <w:rPr>
        <w:b/>
        <w:caps/>
      </w:rPr>
      <w:t>SECTION 4.  APPENDIX CC</w:t>
    </w:r>
  </w:p>
  <w:p w:rsidR="00451631" w:rsidRPr="00D27B2F" w:rsidRDefault="00451631">
    <w:pPr>
      <w:pStyle w:val="Header"/>
      <w:tabs>
        <w:tab w:val="clear" w:pos="8640"/>
      </w:tabs>
      <w:spacing w:after="240"/>
      <w:jc w:val="center"/>
      <w:rPr>
        <w:rFonts w:ascii="Times New Roman Bold" w:hAnsi="Times New Roman Bold"/>
        <w:b/>
        <w:smallCaps/>
      </w:rPr>
    </w:pPr>
    <w:r w:rsidRPr="00D27B2F">
      <w:rPr>
        <w:rFonts w:ascii="Times New Roman Bold" w:hAnsi="Times New Roman Bold"/>
        <w:b/>
        <w:smallCaps/>
      </w:rPr>
      <w:t>Common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rsidP="00D27B2F">
    <w:pPr>
      <w:pStyle w:val="Header"/>
      <w:pBdr>
        <w:bottom w:val="single" w:sz="4" w:space="1" w:color="auto"/>
      </w:pBdr>
      <w:tabs>
        <w:tab w:val="clear" w:pos="8640"/>
      </w:tabs>
      <w:jc w:val="center"/>
      <w:rPr>
        <w:b/>
        <w:caps/>
      </w:rPr>
    </w:pPr>
    <w:r>
      <w:rPr>
        <w:b/>
        <w:caps/>
      </w:rPr>
      <w:t>SECTION 4.  APPENDIX CEMS</w:t>
    </w:r>
  </w:p>
  <w:p w:rsidR="00451631" w:rsidRDefault="00451631" w:rsidP="00D27B2F">
    <w:pPr>
      <w:pStyle w:val="Header"/>
      <w:tabs>
        <w:tab w:val="clear" w:pos="8640"/>
      </w:tabs>
      <w:spacing w:after="240"/>
      <w:jc w:val="center"/>
      <w:rPr>
        <w:b/>
        <w:smallCaps/>
      </w:rPr>
    </w:pPr>
    <w:r>
      <w:rPr>
        <w:b/>
        <w:smallCaps/>
      </w:rPr>
      <w:t>Continuous Emissions Monitoring System (CEMS) Requirements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Default="00451631">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31" w:rsidRPr="00367033" w:rsidRDefault="00451631">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CF</w:t>
    </w:r>
  </w:p>
  <w:p w:rsidR="00451631" w:rsidRPr="00E41D5F" w:rsidRDefault="00451631">
    <w:pPr>
      <w:pStyle w:val="Header"/>
      <w:tabs>
        <w:tab w:val="clear" w:pos="8640"/>
      </w:tabs>
      <w:spacing w:after="240"/>
      <w:jc w:val="center"/>
      <w:rPr>
        <w:rFonts w:ascii="Times New Roman Bold" w:hAnsi="Times New Roman Bold"/>
        <w:b/>
        <w:smallCaps/>
        <w:szCs w:val="22"/>
      </w:rPr>
    </w:pPr>
    <w:r w:rsidRPr="00E41D5F">
      <w:rPr>
        <w:rFonts w:ascii="Times New Roman Bold" w:hAnsi="Times New Roman Bold"/>
        <w:b/>
        <w:smallCaps/>
        <w:szCs w:val="22"/>
      </w:rPr>
      <w:t>Citation Formats and Glossary of Common Terms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16279"/>
    <w:multiLevelType w:val="hybridMultilevel"/>
    <w:tmpl w:val="3118DDA2"/>
    <w:lvl w:ilvl="0" w:tplc="CE5E6068">
      <w:start w:val="10"/>
      <w:numFmt w:val="lowerLetter"/>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6">
    <w:nsid w:val="0AF16C0A"/>
    <w:multiLevelType w:val="hybridMultilevel"/>
    <w:tmpl w:val="1674D222"/>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7">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732B20"/>
    <w:multiLevelType w:val="hybridMultilevel"/>
    <w:tmpl w:val="67AA3C84"/>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50426EA"/>
    <w:multiLevelType w:val="hybridMultilevel"/>
    <w:tmpl w:val="771863A6"/>
    <w:lvl w:ilvl="0" w:tplc="4BB012AA">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2">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4550BE"/>
    <w:multiLevelType w:val="hybridMultilevel"/>
    <w:tmpl w:val="828A78D6"/>
    <w:lvl w:ilvl="0" w:tplc="85FE02B2">
      <w:start w:val="1"/>
      <w:numFmt w:val="lowerRoman"/>
      <w:lvlText w:val="(%1)"/>
      <w:lvlJc w:val="left"/>
      <w:pPr>
        <w:ind w:left="1080" w:hanging="360"/>
      </w:pPr>
      <w:rPr>
        <w:rFonts w:hint="default"/>
      </w:rPr>
    </w:lvl>
    <w:lvl w:ilvl="1" w:tplc="16B0A40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566F68"/>
    <w:multiLevelType w:val="hybridMultilevel"/>
    <w:tmpl w:val="AB705D0A"/>
    <w:lvl w:ilvl="0" w:tplc="45FC39C4">
      <w:start w:val="1"/>
      <w:numFmt w:val="lowerLetter"/>
      <w:lvlText w:val="(%1)"/>
      <w:lvlJc w:val="left"/>
      <w:pPr>
        <w:ind w:left="380" w:hanging="360"/>
      </w:pPr>
      <w:rPr>
        <w:rFonts w:ascii="Times New Roman" w:hAnsi="Times New Roman" w:cs="Times New Roman" w:hint="default"/>
        <w:b w:val="0"/>
        <w:i w:val="0"/>
      </w:rPr>
    </w:lvl>
    <w:lvl w:ilvl="1" w:tplc="C5221B4E">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1">
    <w:nsid w:val="475E179B"/>
    <w:multiLevelType w:val="hybridMultilevel"/>
    <w:tmpl w:val="93640A96"/>
    <w:lvl w:ilvl="0" w:tplc="9050DF3C">
      <w:start w:val="1"/>
      <w:numFmt w:val="lowerLetter"/>
      <w:lvlText w:val="(%1)"/>
      <w:lvlJc w:val="left"/>
      <w:pPr>
        <w:ind w:left="380" w:hanging="360"/>
      </w:pPr>
      <w:rPr>
        <w:rFonts w:hint="default"/>
      </w:rPr>
    </w:lvl>
    <w:lvl w:ilvl="1" w:tplc="AC14EB04">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C87B70"/>
    <w:multiLevelType w:val="hybridMultilevel"/>
    <w:tmpl w:val="AA980A12"/>
    <w:lvl w:ilvl="0" w:tplc="61BAA10C">
      <w:start w:val="1"/>
      <w:numFmt w:val="lowerLetter"/>
      <w:lvlText w:val="(%1)"/>
      <w:lvlJc w:val="left"/>
      <w:pPr>
        <w:ind w:left="380" w:hanging="360"/>
      </w:pPr>
      <w:rPr>
        <w:rFonts w:hint="default"/>
      </w:rPr>
    </w:lvl>
    <w:lvl w:ilvl="1" w:tplc="984632B0">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5">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B20B67"/>
    <w:multiLevelType w:val="hybridMultilevel"/>
    <w:tmpl w:val="B63A6DA2"/>
    <w:lvl w:ilvl="0" w:tplc="B7DC19FC">
      <w:start w:val="1"/>
      <w:numFmt w:val="lowerLetter"/>
      <w:lvlText w:val="(%1)"/>
      <w:lvlJc w:val="left"/>
      <w:pPr>
        <w:ind w:left="380" w:hanging="360"/>
      </w:pPr>
      <w:rPr>
        <w:rFonts w:hint="default"/>
      </w:rPr>
    </w:lvl>
    <w:lvl w:ilvl="1" w:tplc="53D46BA6">
      <w:start w:val="1"/>
      <w:numFmt w:val="decimal"/>
      <w:lvlText w:val="(%2)"/>
      <w:lvlJc w:val="left"/>
      <w:pPr>
        <w:ind w:left="1100" w:hanging="360"/>
      </w:pPr>
      <w:rPr>
        <w:rFonts w:hint="default"/>
      </w:r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38">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7157B4B"/>
    <w:multiLevelType w:val="hybridMultilevel"/>
    <w:tmpl w:val="805A9856"/>
    <w:lvl w:ilvl="0" w:tplc="B998AE34">
      <w:start w:val="22"/>
      <w:numFmt w:val="lowerLetter"/>
      <w:lvlText w:val="(%1)"/>
      <w:lvlJc w:val="left"/>
      <w:pPr>
        <w:ind w:left="380" w:hanging="360"/>
      </w:pPr>
      <w:rPr>
        <w:rFonts w:ascii="Times New Roman" w:hAnsi="Times New Roman" w:cs="Times New Roman" w:hint="default"/>
        <w:b w:val="0"/>
        <w:i w:val="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1">
    <w:nsid w:val="58422F06"/>
    <w:multiLevelType w:val="hybridMultilevel"/>
    <w:tmpl w:val="65F001BC"/>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EA65F7E"/>
    <w:multiLevelType w:val="multilevel"/>
    <w:tmpl w:val="20DABC70"/>
    <w:lvl w:ilvl="0">
      <w:start w:val="1"/>
      <w:numFmt w:val="decimal"/>
      <w:lvlText w:val="%1)"/>
      <w:lvlJc w:val="left"/>
      <w:pPr>
        <w:tabs>
          <w:tab w:val="num" w:pos="1080"/>
        </w:tabs>
        <w:ind w:left="1080" w:hanging="360"/>
      </w:pPr>
      <w:rPr>
        <w:rFonts w:hint="default"/>
      </w:rPr>
    </w:lvl>
    <w:lvl w:ilvl="1">
      <w:start w:val="2"/>
      <w:numFmt w:val="decimal"/>
      <w:lvlText w:val="(%2)"/>
      <w:lvlJc w:val="left"/>
      <w:pPr>
        <w:tabs>
          <w:tab w:val="num" w:pos="3240"/>
        </w:tabs>
        <w:ind w:left="3240" w:hanging="360"/>
      </w:pPr>
      <w:rPr>
        <w:rFonts w:hint="default"/>
      </w:rPr>
    </w:lvl>
    <w:lvl w:ilvl="2">
      <w:start w:val="1"/>
      <w:numFmt w:val="decimal"/>
      <w:lvlText w:val="%3.0"/>
      <w:lvlJc w:val="left"/>
      <w:pPr>
        <w:tabs>
          <w:tab w:val="num" w:pos="4140"/>
        </w:tabs>
        <w:ind w:left="4140" w:hanging="360"/>
      </w:pPr>
      <w:rPr>
        <w:rFonts w:hint="default"/>
      </w:rPr>
    </w:lvl>
    <w:lvl w:ilvl="3">
      <w:start w:val="1"/>
      <w:numFmt w:val="decimal"/>
      <w:lvlText w:val="%4.0"/>
      <w:lvlJc w:val="left"/>
      <w:pPr>
        <w:ind w:left="4770" w:hanging="450"/>
      </w:pPr>
      <w:rPr>
        <w:rFonts w:hint="default"/>
      </w:rPr>
    </w:lvl>
    <w:lvl w:ilvl="4">
      <w:start w:val="3"/>
      <w:numFmt w:val="decimal"/>
      <w:lvlText w:val="%5.1"/>
      <w:lvlJc w:val="left"/>
      <w:pPr>
        <w:tabs>
          <w:tab w:val="num" w:pos="5400"/>
        </w:tabs>
        <w:ind w:left="5400" w:hanging="360"/>
      </w:pPr>
      <w:rPr>
        <w:rFonts w:hint="default"/>
      </w:rPr>
    </w:lvl>
    <w:lvl w:ilvl="5">
      <w:start w:val="2"/>
      <w:numFmt w:val="decimal"/>
      <w:lvlText w:val="%6.1"/>
      <w:lvlJc w:val="lef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4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AD96106"/>
    <w:multiLevelType w:val="hybridMultilevel"/>
    <w:tmpl w:val="2FF4FAE2"/>
    <w:lvl w:ilvl="0" w:tplc="96082308">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4FD5F9E"/>
    <w:multiLevelType w:val="hybridMultilevel"/>
    <w:tmpl w:val="FED0F632"/>
    <w:lvl w:ilvl="0" w:tplc="FDEAB75C">
      <w:start w:val="10"/>
      <w:numFmt w:val="low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6">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8">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2"/>
  </w:num>
  <w:num w:numId="4">
    <w:abstractNumId w:val="46"/>
  </w:num>
  <w:num w:numId="5">
    <w:abstractNumId w:val="32"/>
  </w:num>
  <w:num w:numId="6">
    <w:abstractNumId w:val="58"/>
  </w:num>
  <w:num w:numId="7">
    <w:abstractNumId w:val="44"/>
  </w:num>
  <w:num w:numId="8">
    <w:abstractNumId w:val="19"/>
  </w:num>
  <w:num w:numId="9">
    <w:abstractNumId w:val="38"/>
  </w:num>
  <w:num w:numId="10">
    <w:abstractNumId w:val="57"/>
  </w:num>
  <w:num w:numId="11">
    <w:abstractNumId w:val="8"/>
  </w:num>
  <w:num w:numId="12">
    <w:abstractNumId w:val="15"/>
  </w:num>
  <w:num w:numId="13">
    <w:abstractNumId w:val="7"/>
  </w:num>
  <w:num w:numId="14">
    <w:abstractNumId w:val="35"/>
  </w:num>
  <w:num w:numId="15">
    <w:abstractNumId w:val="33"/>
  </w:num>
  <w:num w:numId="16">
    <w:abstractNumId w:val="10"/>
  </w:num>
  <w:num w:numId="17">
    <w:abstractNumId w:val="47"/>
  </w:num>
  <w:num w:numId="18">
    <w:abstractNumId w:val="1"/>
  </w:num>
  <w:num w:numId="19">
    <w:abstractNumId w:val="20"/>
  </w:num>
  <w:num w:numId="20">
    <w:abstractNumId w:val="25"/>
  </w:num>
  <w:num w:numId="21">
    <w:abstractNumId w:val="59"/>
  </w:num>
  <w:num w:numId="22">
    <w:abstractNumId w:val="21"/>
  </w:num>
  <w:num w:numId="23">
    <w:abstractNumId w:val="26"/>
  </w:num>
  <w:num w:numId="24">
    <w:abstractNumId w:val="48"/>
  </w:num>
  <w:num w:numId="25">
    <w:abstractNumId w:val="39"/>
  </w:num>
  <w:num w:numId="26">
    <w:abstractNumId w:val="34"/>
  </w:num>
  <w:num w:numId="27">
    <w:abstractNumId w:val="23"/>
  </w:num>
  <w:num w:numId="28">
    <w:abstractNumId w:val="37"/>
  </w:num>
  <w:num w:numId="29">
    <w:abstractNumId w:val="56"/>
  </w:num>
  <w:num w:numId="30">
    <w:abstractNumId w:val="49"/>
  </w:num>
  <w:num w:numId="31">
    <w:abstractNumId w:val="51"/>
  </w:num>
  <w:num w:numId="32">
    <w:abstractNumId w:val="31"/>
  </w:num>
  <w:num w:numId="33">
    <w:abstractNumId w:val="60"/>
  </w:num>
  <w:num w:numId="34">
    <w:abstractNumId w:val="24"/>
  </w:num>
  <w:num w:numId="35">
    <w:abstractNumId w:val="14"/>
  </w:num>
  <w:num w:numId="36">
    <w:abstractNumId w:val="18"/>
  </w:num>
  <w:num w:numId="37">
    <w:abstractNumId w:val="30"/>
  </w:num>
  <w:num w:numId="38">
    <w:abstractNumId w:val="6"/>
  </w:num>
  <w:num w:numId="39">
    <w:abstractNumId w:val="29"/>
  </w:num>
  <w:num w:numId="40">
    <w:abstractNumId w:val="9"/>
  </w:num>
  <w:num w:numId="41">
    <w:abstractNumId w:val="36"/>
  </w:num>
  <w:num w:numId="42">
    <w:abstractNumId w:val="12"/>
  </w:num>
  <w:num w:numId="43">
    <w:abstractNumId w:val="55"/>
  </w:num>
  <w:num w:numId="44">
    <w:abstractNumId w:val="41"/>
  </w:num>
  <w:num w:numId="45">
    <w:abstractNumId w:val="40"/>
  </w:num>
  <w:num w:numId="46">
    <w:abstractNumId w:val="5"/>
  </w:num>
  <w:num w:numId="47">
    <w:abstractNumId w:val="4"/>
  </w:num>
  <w:num w:numId="48">
    <w:abstractNumId w:val="54"/>
  </w:num>
  <w:num w:numId="49">
    <w:abstractNumId w:val="22"/>
  </w:num>
  <w:num w:numId="50">
    <w:abstractNumId w:val="42"/>
  </w:num>
  <w:num w:numId="51">
    <w:abstractNumId w:val="52"/>
  </w:num>
  <w:num w:numId="52">
    <w:abstractNumId w:val="3"/>
  </w:num>
  <w:num w:numId="53">
    <w:abstractNumId w:val="27"/>
  </w:num>
  <w:num w:numId="54">
    <w:abstractNumId w:val="50"/>
  </w:num>
  <w:num w:numId="55">
    <w:abstractNumId w:val="17"/>
  </w:num>
  <w:num w:numId="56">
    <w:abstractNumId w:val="11"/>
  </w:num>
  <w:num w:numId="57">
    <w:abstractNumId w:val="45"/>
  </w:num>
  <w:num w:numId="58">
    <w:abstractNumId w:val="13"/>
  </w:num>
  <w:num w:numId="59">
    <w:abstractNumId w:val="53"/>
  </w:num>
  <w:num w:numId="60">
    <w:abstractNumId w:val="28"/>
  </w:num>
  <w:num w:numId="61">
    <w:abstractNumId w:val="43"/>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rsids>
    <w:rsidRoot w:val="001A7A53"/>
    <w:rsid w:val="0000154E"/>
    <w:rsid w:val="00002EEC"/>
    <w:rsid w:val="00004468"/>
    <w:rsid w:val="0000480D"/>
    <w:rsid w:val="00004C4D"/>
    <w:rsid w:val="000068A1"/>
    <w:rsid w:val="000100D0"/>
    <w:rsid w:val="000106C1"/>
    <w:rsid w:val="00014846"/>
    <w:rsid w:val="000171D5"/>
    <w:rsid w:val="00022E31"/>
    <w:rsid w:val="00023BAC"/>
    <w:rsid w:val="00026F6C"/>
    <w:rsid w:val="000310CB"/>
    <w:rsid w:val="00031905"/>
    <w:rsid w:val="000335AF"/>
    <w:rsid w:val="000352CB"/>
    <w:rsid w:val="0003549E"/>
    <w:rsid w:val="0004250C"/>
    <w:rsid w:val="00042B3B"/>
    <w:rsid w:val="00055CCC"/>
    <w:rsid w:val="000560A5"/>
    <w:rsid w:val="00057488"/>
    <w:rsid w:val="000833EA"/>
    <w:rsid w:val="00094F85"/>
    <w:rsid w:val="0009546A"/>
    <w:rsid w:val="000B27F1"/>
    <w:rsid w:val="000B4A96"/>
    <w:rsid w:val="000B6F90"/>
    <w:rsid w:val="000C0CB2"/>
    <w:rsid w:val="000C7228"/>
    <w:rsid w:val="000D0C87"/>
    <w:rsid w:val="000D0D89"/>
    <w:rsid w:val="000D2327"/>
    <w:rsid w:val="000D4E31"/>
    <w:rsid w:val="000D65F0"/>
    <w:rsid w:val="000D66A9"/>
    <w:rsid w:val="000E04AF"/>
    <w:rsid w:val="000E57CD"/>
    <w:rsid w:val="000F01AE"/>
    <w:rsid w:val="000F0EAC"/>
    <w:rsid w:val="000F4EA2"/>
    <w:rsid w:val="000F7AAD"/>
    <w:rsid w:val="00102890"/>
    <w:rsid w:val="00102D0E"/>
    <w:rsid w:val="00105303"/>
    <w:rsid w:val="0010577D"/>
    <w:rsid w:val="001070F8"/>
    <w:rsid w:val="001075A7"/>
    <w:rsid w:val="00107651"/>
    <w:rsid w:val="001246F1"/>
    <w:rsid w:val="00133D77"/>
    <w:rsid w:val="00146827"/>
    <w:rsid w:val="00154179"/>
    <w:rsid w:val="00154440"/>
    <w:rsid w:val="001579CB"/>
    <w:rsid w:val="001601EE"/>
    <w:rsid w:val="00160529"/>
    <w:rsid w:val="00160DBE"/>
    <w:rsid w:val="00170117"/>
    <w:rsid w:val="00171C2C"/>
    <w:rsid w:val="00174ED7"/>
    <w:rsid w:val="00182A7D"/>
    <w:rsid w:val="0019529B"/>
    <w:rsid w:val="001A06D3"/>
    <w:rsid w:val="001A3E89"/>
    <w:rsid w:val="001A7A53"/>
    <w:rsid w:val="001B023F"/>
    <w:rsid w:val="001B2D0C"/>
    <w:rsid w:val="001B5610"/>
    <w:rsid w:val="001C098D"/>
    <w:rsid w:val="001C0CBC"/>
    <w:rsid w:val="001C438B"/>
    <w:rsid w:val="001C47FC"/>
    <w:rsid w:val="001D0C68"/>
    <w:rsid w:val="001D39A4"/>
    <w:rsid w:val="001D76D6"/>
    <w:rsid w:val="001E5307"/>
    <w:rsid w:val="001E6028"/>
    <w:rsid w:val="001E723E"/>
    <w:rsid w:val="001F77F4"/>
    <w:rsid w:val="0020599F"/>
    <w:rsid w:val="00212617"/>
    <w:rsid w:val="00212EAE"/>
    <w:rsid w:val="00215129"/>
    <w:rsid w:val="00216EFD"/>
    <w:rsid w:val="002216EA"/>
    <w:rsid w:val="00225F01"/>
    <w:rsid w:val="002315A0"/>
    <w:rsid w:val="00233C60"/>
    <w:rsid w:val="002376BF"/>
    <w:rsid w:val="00241C73"/>
    <w:rsid w:val="00241CB3"/>
    <w:rsid w:val="00242F3F"/>
    <w:rsid w:val="00246965"/>
    <w:rsid w:val="002540E3"/>
    <w:rsid w:val="002637EF"/>
    <w:rsid w:val="00263B42"/>
    <w:rsid w:val="00266FD6"/>
    <w:rsid w:val="00270333"/>
    <w:rsid w:val="00271E8A"/>
    <w:rsid w:val="0027262B"/>
    <w:rsid w:val="00274930"/>
    <w:rsid w:val="002756CF"/>
    <w:rsid w:val="00281C7B"/>
    <w:rsid w:val="00282CD4"/>
    <w:rsid w:val="00283195"/>
    <w:rsid w:val="00285559"/>
    <w:rsid w:val="00286CAB"/>
    <w:rsid w:val="00291A5C"/>
    <w:rsid w:val="0029664C"/>
    <w:rsid w:val="00296DAC"/>
    <w:rsid w:val="002A1635"/>
    <w:rsid w:val="002A25C8"/>
    <w:rsid w:val="002A2C5A"/>
    <w:rsid w:val="002A74C8"/>
    <w:rsid w:val="002A7949"/>
    <w:rsid w:val="002B64C8"/>
    <w:rsid w:val="002C186C"/>
    <w:rsid w:val="002D1623"/>
    <w:rsid w:val="002D1C7B"/>
    <w:rsid w:val="002D442A"/>
    <w:rsid w:val="002D541B"/>
    <w:rsid w:val="002E3F97"/>
    <w:rsid w:val="00304057"/>
    <w:rsid w:val="00305DA2"/>
    <w:rsid w:val="00305FFC"/>
    <w:rsid w:val="00306B9A"/>
    <w:rsid w:val="0031357A"/>
    <w:rsid w:val="00317674"/>
    <w:rsid w:val="0032230B"/>
    <w:rsid w:val="003227B4"/>
    <w:rsid w:val="00322A20"/>
    <w:rsid w:val="00323165"/>
    <w:rsid w:val="0032785D"/>
    <w:rsid w:val="00331F8A"/>
    <w:rsid w:val="00332D27"/>
    <w:rsid w:val="00342998"/>
    <w:rsid w:val="00346AD8"/>
    <w:rsid w:val="0035059F"/>
    <w:rsid w:val="00354D51"/>
    <w:rsid w:val="00362BF0"/>
    <w:rsid w:val="00370332"/>
    <w:rsid w:val="0037110B"/>
    <w:rsid w:val="00376509"/>
    <w:rsid w:val="00383006"/>
    <w:rsid w:val="003848E3"/>
    <w:rsid w:val="00386D07"/>
    <w:rsid w:val="00391F9F"/>
    <w:rsid w:val="003959C9"/>
    <w:rsid w:val="00397472"/>
    <w:rsid w:val="003B1501"/>
    <w:rsid w:val="003B6CA7"/>
    <w:rsid w:val="003C14F6"/>
    <w:rsid w:val="003C3846"/>
    <w:rsid w:val="003C3AD3"/>
    <w:rsid w:val="003D06B7"/>
    <w:rsid w:val="003D356A"/>
    <w:rsid w:val="003D36ED"/>
    <w:rsid w:val="003D43CC"/>
    <w:rsid w:val="003D5D0F"/>
    <w:rsid w:val="003D5D7D"/>
    <w:rsid w:val="003D69E7"/>
    <w:rsid w:val="003D7191"/>
    <w:rsid w:val="003D7709"/>
    <w:rsid w:val="003E05E0"/>
    <w:rsid w:val="003F0C14"/>
    <w:rsid w:val="003F2218"/>
    <w:rsid w:val="003F58B6"/>
    <w:rsid w:val="0040153E"/>
    <w:rsid w:val="004047E1"/>
    <w:rsid w:val="004077F4"/>
    <w:rsid w:val="0041022B"/>
    <w:rsid w:val="00413264"/>
    <w:rsid w:val="00415629"/>
    <w:rsid w:val="0042118E"/>
    <w:rsid w:val="00421C07"/>
    <w:rsid w:val="0042230E"/>
    <w:rsid w:val="004240DE"/>
    <w:rsid w:val="00432E59"/>
    <w:rsid w:val="00434738"/>
    <w:rsid w:val="00436C92"/>
    <w:rsid w:val="00446ADE"/>
    <w:rsid w:val="00451631"/>
    <w:rsid w:val="004543EA"/>
    <w:rsid w:val="0045541D"/>
    <w:rsid w:val="004554B1"/>
    <w:rsid w:val="00455827"/>
    <w:rsid w:val="004640A7"/>
    <w:rsid w:val="004640F0"/>
    <w:rsid w:val="004822F5"/>
    <w:rsid w:val="00487594"/>
    <w:rsid w:val="00487BDC"/>
    <w:rsid w:val="004973E0"/>
    <w:rsid w:val="004A1C6F"/>
    <w:rsid w:val="004A3D6B"/>
    <w:rsid w:val="004A4ED6"/>
    <w:rsid w:val="004A53B1"/>
    <w:rsid w:val="004B0CCD"/>
    <w:rsid w:val="004B1968"/>
    <w:rsid w:val="004B3828"/>
    <w:rsid w:val="004B38BC"/>
    <w:rsid w:val="004B676B"/>
    <w:rsid w:val="004D03C2"/>
    <w:rsid w:val="004D7270"/>
    <w:rsid w:val="004D7F3B"/>
    <w:rsid w:val="004E03B8"/>
    <w:rsid w:val="004E5E90"/>
    <w:rsid w:val="004E6052"/>
    <w:rsid w:val="004E77EC"/>
    <w:rsid w:val="004F28AB"/>
    <w:rsid w:val="004F7C4F"/>
    <w:rsid w:val="00500403"/>
    <w:rsid w:val="005032FB"/>
    <w:rsid w:val="005066DC"/>
    <w:rsid w:val="00517865"/>
    <w:rsid w:val="00525E4C"/>
    <w:rsid w:val="00532E3B"/>
    <w:rsid w:val="00533A26"/>
    <w:rsid w:val="00540D8A"/>
    <w:rsid w:val="0054421B"/>
    <w:rsid w:val="00555F91"/>
    <w:rsid w:val="00556D08"/>
    <w:rsid w:val="00562A27"/>
    <w:rsid w:val="00564579"/>
    <w:rsid w:val="005672F3"/>
    <w:rsid w:val="00570B50"/>
    <w:rsid w:val="00573E23"/>
    <w:rsid w:val="00575D53"/>
    <w:rsid w:val="00575E10"/>
    <w:rsid w:val="00595112"/>
    <w:rsid w:val="00597699"/>
    <w:rsid w:val="005A3273"/>
    <w:rsid w:val="005A61A2"/>
    <w:rsid w:val="005A7B69"/>
    <w:rsid w:val="005B07BD"/>
    <w:rsid w:val="005B2A7D"/>
    <w:rsid w:val="005B2C3E"/>
    <w:rsid w:val="005B5C50"/>
    <w:rsid w:val="005C3AD7"/>
    <w:rsid w:val="005C49AE"/>
    <w:rsid w:val="005C69C8"/>
    <w:rsid w:val="005D0D94"/>
    <w:rsid w:val="005D2877"/>
    <w:rsid w:val="005D3F12"/>
    <w:rsid w:val="005D50EA"/>
    <w:rsid w:val="005E1B3A"/>
    <w:rsid w:val="005E3673"/>
    <w:rsid w:val="005E459E"/>
    <w:rsid w:val="005E7862"/>
    <w:rsid w:val="005F0465"/>
    <w:rsid w:val="005F610C"/>
    <w:rsid w:val="005F6719"/>
    <w:rsid w:val="0060071E"/>
    <w:rsid w:val="006027A8"/>
    <w:rsid w:val="00606C1D"/>
    <w:rsid w:val="00613046"/>
    <w:rsid w:val="006167D3"/>
    <w:rsid w:val="00630030"/>
    <w:rsid w:val="006319E9"/>
    <w:rsid w:val="00631B9E"/>
    <w:rsid w:val="00631E25"/>
    <w:rsid w:val="006321CB"/>
    <w:rsid w:val="00637581"/>
    <w:rsid w:val="00643A30"/>
    <w:rsid w:val="006459DB"/>
    <w:rsid w:val="006503C7"/>
    <w:rsid w:val="006615D4"/>
    <w:rsid w:val="00662EEB"/>
    <w:rsid w:val="00665866"/>
    <w:rsid w:val="006678C7"/>
    <w:rsid w:val="0067588F"/>
    <w:rsid w:val="00677F00"/>
    <w:rsid w:val="006826BC"/>
    <w:rsid w:val="0068413C"/>
    <w:rsid w:val="006904BB"/>
    <w:rsid w:val="00694913"/>
    <w:rsid w:val="006978ED"/>
    <w:rsid w:val="006A0A42"/>
    <w:rsid w:val="006A628F"/>
    <w:rsid w:val="006A6851"/>
    <w:rsid w:val="006B1C04"/>
    <w:rsid w:val="006B2CAD"/>
    <w:rsid w:val="006B585F"/>
    <w:rsid w:val="006C1E2A"/>
    <w:rsid w:val="006C2B45"/>
    <w:rsid w:val="006C3405"/>
    <w:rsid w:val="006D2D22"/>
    <w:rsid w:val="006D41AD"/>
    <w:rsid w:val="006D5DA6"/>
    <w:rsid w:val="006D6E84"/>
    <w:rsid w:val="006E0562"/>
    <w:rsid w:val="006E5101"/>
    <w:rsid w:val="006E77EB"/>
    <w:rsid w:val="006F1480"/>
    <w:rsid w:val="006F3294"/>
    <w:rsid w:val="006F3308"/>
    <w:rsid w:val="006F4B6B"/>
    <w:rsid w:val="00701041"/>
    <w:rsid w:val="00702807"/>
    <w:rsid w:val="007078D2"/>
    <w:rsid w:val="007141C8"/>
    <w:rsid w:val="0071560B"/>
    <w:rsid w:val="00730784"/>
    <w:rsid w:val="00732968"/>
    <w:rsid w:val="007370E5"/>
    <w:rsid w:val="00741232"/>
    <w:rsid w:val="0074429F"/>
    <w:rsid w:val="00744CB6"/>
    <w:rsid w:val="00745DB2"/>
    <w:rsid w:val="0075580B"/>
    <w:rsid w:val="007566DD"/>
    <w:rsid w:val="00756F15"/>
    <w:rsid w:val="007634AB"/>
    <w:rsid w:val="007666FB"/>
    <w:rsid w:val="00771109"/>
    <w:rsid w:val="007735F6"/>
    <w:rsid w:val="0077494C"/>
    <w:rsid w:val="00777007"/>
    <w:rsid w:val="00777742"/>
    <w:rsid w:val="007919B5"/>
    <w:rsid w:val="00791D28"/>
    <w:rsid w:val="007A140E"/>
    <w:rsid w:val="007A6C93"/>
    <w:rsid w:val="007A7EF3"/>
    <w:rsid w:val="007B2359"/>
    <w:rsid w:val="007B33CB"/>
    <w:rsid w:val="007C0B60"/>
    <w:rsid w:val="007C1BBD"/>
    <w:rsid w:val="007C252B"/>
    <w:rsid w:val="007C4581"/>
    <w:rsid w:val="007D065E"/>
    <w:rsid w:val="007D58A0"/>
    <w:rsid w:val="007D5FD1"/>
    <w:rsid w:val="007E0053"/>
    <w:rsid w:val="007E2017"/>
    <w:rsid w:val="007F72B9"/>
    <w:rsid w:val="007F78AF"/>
    <w:rsid w:val="00802BC1"/>
    <w:rsid w:val="008065D7"/>
    <w:rsid w:val="00806616"/>
    <w:rsid w:val="008068C1"/>
    <w:rsid w:val="00807416"/>
    <w:rsid w:val="008074B0"/>
    <w:rsid w:val="0081005B"/>
    <w:rsid w:val="008142F2"/>
    <w:rsid w:val="00814853"/>
    <w:rsid w:val="00816094"/>
    <w:rsid w:val="00816486"/>
    <w:rsid w:val="008223F3"/>
    <w:rsid w:val="00827EA6"/>
    <w:rsid w:val="008315C1"/>
    <w:rsid w:val="008415FC"/>
    <w:rsid w:val="0084345C"/>
    <w:rsid w:val="00846DC3"/>
    <w:rsid w:val="0085330D"/>
    <w:rsid w:val="008559A9"/>
    <w:rsid w:val="0086056B"/>
    <w:rsid w:val="00862CD2"/>
    <w:rsid w:val="00866227"/>
    <w:rsid w:val="00866790"/>
    <w:rsid w:val="008769C0"/>
    <w:rsid w:val="008774D1"/>
    <w:rsid w:val="0088098F"/>
    <w:rsid w:val="0088222C"/>
    <w:rsid w:val="00884B60"/>
    <w:rsid w:val="008935CB"/>
    <w:rsid w:val="008955F4"/>
    <w:rsid w:val="008A0287"/>
    <w:rsid w:val="008A1079"/>
    <w:rsid w:val="008A199A"/>
    <w:rsid w:val="008A429F"/>
    <w:rsid w:val="008A7BB3"/>
    <w:rsid w:val="008B0C06"/>
    <w:rsid w:val="008B2349"/>
    <w:rsid w:val="008B7607"/>
    <w:rsid w:val="008D1376"/>
    <w:rsid w:val="008D4C61"/>
    <w:rsid w:val="008D5A99"/>
    <w:rsid w:val="008E2853"/>
    <w:rsid w:val="008E63B1"/>
    <w:rsid w:val="008F41BB"/>
    <w:rsid w:val="008F54A9"/>
    <w:rsid w:val="00900578"/>
    <w:rsid w:val="00911769"/>
    <w:rsid w:val="00912ADC"/>
    <w:rsid w:val="009170AB"/>
    <w:rsid w:val="0092114C"/>
    <w:rsid w:val="0092176D"/>
    <w:rsid w:val="00922A3E"/>
    <w:rsid w:val="00946F51"/>
    <w:rsid w:val="00950279"/>
    <w:rsid w:val="00950F02"/>
    <w:rsid w:val="00951B84"/>
    <w:rsid w:val="00951C02"/>
    <w:rsid w:val="00952F0A"/>
    <w:rsid w:val="00952F9F"/>
    <w:rsid w:val="009554E0"/>
    <w:rsid w:val="00955BF1"/>
    <w:rsid w:val="00956C2D"/>
    <w:rsid w:val="00961E30"/>
    <w:rsid w:val="00967479"/>
    <w:rsid w:val="00971035"/>
    <w:rsid w:val="009768A8"/>
    <w:rsid w:val="00981922"/>
    <w:rsid w:val="00983953"/>
    <w:rsid w:val="00985F4C"/>
    <w:rsid w:val="00991593"/>
    <w:rsid w:val="0099372B"/>
    <w:rsid w:val="009A069D"/>
    <w:rsid w:val="009B0A46"/>
    <w:rsid w:val="009B2498"/>
    <w:rsid w:val="009B619B"/>
    <w:rsid w:val="009D224E"/>
    <w:rsid w:val="009D4900"/>
    <w:rsid w:val="009D5E7B"/>
    <w:rsid w:val="009E0266"/>
    <w:rsid w:val="009E314B"/>
    <w:rsid w:val="009E6BA5"/>
    <w:rsid w:val="009E7D8D"/>
    <w:rsid w:val="009F2543"/>
    <w:rsid w:val="009F324B"/>
    <w:rsid w:val="00A121FA"/>
    <w:rsid w:val="00A1509B"/>
    <w:rsid w:val="00A16729"/>
    <w:rsid w:val="00A2039D"/>
    <w:rsid w:val="00A24268"/>
    <w:rsid w:val="00A24CEF"/>
    <w:rsid w:val="00A30EC2"/>
    <w:rsid w:val="00A44FE2"/>
    <w:rsid w:val="00A511BD"/>
    <w:rsid w:val="00A52E89"/>
    <w:rsid w:val="00A531B0"/>
    <w:rsid w:val="00A610AE"/>
    <w:rsid w:val="00A62833"/>
    <w:rsid w:val="00A65FBF"/>
    <w:rsid w:val="00A660E7"/>
    <w:rsid w:val="00A671F1"/>
    <w:rsid w:val="00A673C3"/>
    <w:rsid w:val="00A67757"/>
    <w:rsid w:val="00A7033E"/>
    <w:rsid w:val="00A725CB"/>
    <w:rsid w:val="00A736A8"/>
    <w:rsid w:val="00A744CD"/>
    <w:rsid w:val="00A80157"/>
    <w:rsid w:val="00A82A45"/>
    <w:rsid w:val="00A85EE2"/>
    <w:rsid w:val="00A90009"/>
    <w:rsid w:val="00A93807"/>
    <w:rsid w:val="00A93A4E"/>
    <w:rsid w:val="00AA1155"/>
    <w:rsid w:val="00AB4A85"/>
    <w:rsid w:val="00AB5FE8"/>
    <w:rsid w:val="00AB60E9"/>
    <w:rsid w:val="00AB771A"/>
    <w:rsid w:val="00AB7FBC"/>
    <w:rsid w:val="00AC107E"/>
    <w:rsid w:val="00AC1BA2"/>
    <w:rsid w:val="00AD59C7"/>
    <w:rsid w:val="00AD7ED5"/>
    <w:rsid w:val="00AF41CD"/>
    <w:rsid w:val="00AF62D9"/>
    <w:rsid w:val="00B06726"/>
    <w:rsid w:val="00B06897"/>
    <w:rsid w:val="00B1641E"/>
    <w:rsid w:val="00B16F37"/>
    <w:rsid w:val="00B244A3"/>
    <w:rsid w:val="00B30C3D"/>
    <w:rsid w:val="00B3506B"/>
    <w:rsid w:val="00B368E3"/>
    <w:rsid w:val="00B36C8D"/>
    <w:rsid w:val="00B3764C"/>
    <w:rsid w:val="00B414DD"/>
    <w:rsid w:val="00B42EDF"/>
    <w:rsid w:val="00B433B7"/>
    <w:rsid w:val="00B553AA"/>
    <w:rsid w:val="00B61F44"/>
    <w:rsid w:val="00B62106"/>
    <w:rsid w:val="00B66184"/>
    <w:rsid w:val="00B67F5B"/>
    <w:rsid w:val="00B71669"/>
    <w:rsid w:val="00B72749"/>
    <w:rsid w:val="00B747B7"/>
    <w:rsid w:val="00B8050A"/>
    <w:rsid w:val="00B8425E"/>
    <w:rsid w:val="00B8454B"/>
    <w:rsid w:val="00B84B8C"/>
    <w:rsid w:val="00B860D8"/>
    <w:rsid w:val="00B867E8"/>
    <w:rsid w:val="00B908C0"/>
    <w:rsid w:val="00B9254B"/>
    <w:rsid w:val="00B937A2"/>
    <w:rsid w:val="00B97E74"/>
    <w:rsid w:val="00BA1523"/>
    <w:rsid w:val="00BA1B5D"/>
    <w:rsid w:val="00BA4210"/>
    <w:rsid w:val="00BB1857"/>
    <w:rsid w:val="00BB1D86"/>
    <w:rsid w:val="00BB33F4"/>
    <w:rsid w:val="00BB64FF"/>
    <w:rsid w:val="00BB6AD5"/>
    <w:rsid w:val="00BC53A8"/>
    <w:rsid w:val="00BC71FC"/>
    <w:rsid w:val="00BC7E85"/>
    <w:rsid w:val="00BD171F"/>
    <w:rsid w:val="00BE23C1"/>
    <w:rsid w:val="00BE3FD2"/>
    <w:rsid w:val="00BE50F6"/>
    <w:rsid w:val="00BE6D92"/>
    <w:rsid w:val="00BE6E0C"/>
    <w:rsid w:val="00BF6BE2"/>
    <w:rsid w:val="00C006EE"/>
    <w:rsid w:val="00C027AD"/>
    <w:rsid w:val="00C07766"/>
    <w:rsid w:val="00C12B07"/>
    <w:rsid w:val="00C24F47"/>
    <w:rsid w:val="00C274DD"/>
    <w:rsid w:val="00C33C20"/>
    <w:rsid w:val="00C33C3A"/>
    <w:rsid w:val="00C40F55"/>
    <w:rsid w:val="00C51FA0"/>
    <w:rsid w:val="00C528CE"/>
    <w:rsid w:val="00C53E38"/>
    <w:rsid w:val="00C545CE"/>
    <w:rsid w:val="00C55D25"/>
    <w:rsid w:val="00C55DAD"/>
    <w:rsid w:val="00C56091"/>
    <w:rsid w:val="00C56AA7"/>
    <w:rsid w:val="00C56F10"/>
    <w:rsid w:val="00C64843"/>
    <w:rsid w:val="00C64ECA"/>
    <w:rsid w:val="00C65957"/>
    <w:rsid w:val="00C67728"/>
    <w:rsid w:val="00C708BE"/>
    <w:rsid w:val="00C75163"/>
    <w:rsid w:val="00C754B0"/>
    <w:rsid w:val="00C76C1C"/>
    <w:rsid w:val="00C77BEE"/>
    <w:rsid w:val="00C80E32"/>
    <w:rsid w:val="00C8156C"/>
    <w:rsid w:val="00C83983"/>
    <w:rsid w:val="00C8767B"/>
    <w:rsid w:val="00C87990"/>
    <w:rsid w:val="00C9068E"/>
    <w:rsid w:val="00C91943"/>
    <w:rsid w:val="00C9359E"/>
    <w:rsid w:val="00C96C8F"/>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32F1"/>
    <w:rsid w:val="00CF794D"/>
    <w:rsid w:val="00CF7FE9"/>
    <w:rsid w:val="00D0149F"/>
    <w:rsid w:val="00D04EAA"/>
    <w:rsid w:val="00D051D9"/>
    <w:rsid w:val="00D107B5"/>
    <w:rsid w:val="00D10809"/>
    <w:rsid w:val="00D11883"/>
    <w:rsid w:val="00D17820"/>
    <w:rsid w:val="00D17BEB"/>
    <w:rsid w:val="00D21596"/>
    <w:rsid w:val="00D239C5"/>
    <w:rsid w:val="00D27B2F"/>
    <w:rsid w:val="00D32CB0"/>
    <w:rsid w:val="00D33ED2"/>
    <w:rsid w:val="00D37498"/>
    <w:rsid w:val="00D41A70"/>
    <w:rsid w:val="00D41FB6"/>
    <w:rsid w:val="00D46E96"/>
    <w:rsid w:val="00D50C06"/>
    <w:rsid w:val="00D56266"/>
    <w:rsid w:val="00D57528"/>
    <w:rsid w:val="00D57AD8"/>
    <w:rsid w:val="00D610AC"/>
    <w:rsid w:val="00D613E3"/>
    <w:rsid w:val="00D7448A"/>
    <w:rsid w:val="00D75D57"/>
    <w:rsid w:val="00D80FF4"/>
    <w:rsid w:val="00D823E0"/>
    <w:rsid w:val="00D8422C"/>
    <w:rsid w:val="00D90610"/>
    <w:rsid w:val="00D92266"/>
    <w:rsid w:val="00D964DB"/>
    <w:rsid w:val="00DA129A"/>
    <w:rsid w:val="00DB73E2"/>
    <w:rsid w:val="00DB76E9"/>
    <w:rsid w:val="00DB7CF5"/>
    <w:rsid w:val="00DC037B"/>
    <w:rsid w:val="00DC116F"/>
    <w:rsid w:val="00DC40FA"/>
    <w:rsid w:val="00DC48C5"/>
    <w:rsid w:val="00DC7D88"/>
    <w:rsid w:val="00DD0D41"/>
    <w:rsid w:val="00DD0E6D"/>
    <w:rsid w:val="00DD1AA5"/>
    <w:rsid w:val="00DD1C7E"/>
    <w:rsid w:val="00DE279B"/>
    <w:rsid w:val="00DE4586"/>
    <w:rsid w:val="00DE509C"/>
    <w:rsid w:val="00DE571C"/>
    <w:rsid w:val="00DF369D"/>
    <w:rsid w:val="00DF610B"/>
    <w:rsid w:val="00E03C4C"/>
    <w:rsid w:val="00E11838"/>
    <w:rsid w:val="00E20F4B"/>
    <w:rsid w:val="00E3085D"/>
    <w:rsid w:val="00E31A39"/>
    <w:rsid w:val="00E3228E"/>
    <w:rsid w:val="00E34E9D"/>
    <w:rsid w:val="00E35B35"/>
    <w:rsid w:val="00E35B45"/>
    <w:rsid w:val="00E40B04"/>
    <w:rsid w:val="00E41D5F"/>
    <w:rsid w:val="00E42BAF"/>
    <w:rsid w:val="00E44D80"/>
    <w:rsid w:val="00E4661A"/>
    <w:rsid w:val="00E50C07"/>
    <w:rsid w:val="00E526E2"/>
    <w:rsid w:val="00E53863"/>
    <w:rsid w:val="00E560CD"/>
    <w:rsid w:val="00E626B8"/>
    <w:rsid w:val="00E654A6"/>
    <w:rsid w:val="00E710C7"/>
    <w:rsid w:val="00E72867"/>
    <w:rsid w:val="00E73403"/>
    <w:rsid w:val="00E73A04"/>
    <w:rsid w:val="00E76D66"/>
    <w:rsid w:val="00E81B62"/>
    <w:rsid w:val="00E82AE4"/>
    <w:rsid w:val="00E865E4"/>
    <w:rsid w:val="00E953B1"/>
    <w:rsid w:val="00E96CB0"/>
    <w:rsid w:val="00EA4C72"/>
    <w:rsid w:val="00EB30F6"/>
    <w:rsid w:val="00EB4F87"/>
    <w:rsid w:val="00EB570F"/>
    <w:rsid w:val="00EC61A8"/>
    <w:rsid w:val="00EC6DF9"/>
    <w:rsid w:val="00EC6FFC"/>
    <w:rsid w:val="00ED4120"/>
    <w:rsid w:val="00ED53C3"/>
    <w:rsid w:val="00EE1F5D"/>
    <w:rsid w:val="00EE2551"/>
    <w:rsid w:val="00EE4158"/>
    <w:rsid w:val="00EE68ED"/>
    <w:rsid w:val="00EF0880"/>
    <w:rsid w:val="00EF1515"/>
    <w:rsid w:val="00EF1DB8"/>
    <w:rsid w:val="00EF5AF8"/>
    <w:rsid w:val="00F01D07"/>
    <w:rsid w:val="00F13707"/>
    <w:rsid w:val="00F158F4"/>
    <w:rsid w:val="00F15EE5"/>
    <w:rsid w:val="00F20403"/>
    <w:rsid w:val="00F2064D"/>
    <w:rsid w:val="00F21778"/>
    <w:rsid w:val="00F22EAD"/>
    <w:rsid w:val="00F2311E"/>
    <w:rsid w:val="00F2390C"/>
    <w:rsid w:val="00F2670E"/>
    <w:rsid w:val="00F30CAF"/>
    <w:rsid w:val="00F324E9"/>
    <w:rsid w:val="00F33B0C"/>
    <w:rsid w:val="00F355B1"/>
    <w:rsid w:val="00F4004E"/>
    <w:rsid w:val="00F40303"/>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1C3D"/>
    <w:rsid w:val="00F935A8"/>
    <w:rsid w:val="00F947E4"/>
    <w:rsid w:val="00F96BE4"/>
    <w:rsid w:val="00FA0D80"/>
    <w:rsid w:val="00FA3CC5"/>
    <w:rsid w:val="00FA52DF"/>
    <w:rsid w:val="00FB0088"/>
    <w:rsid w:val="00FC1ECD"/>
    <w:rsid w:val="00FC7CB9"/>
    <w:rsid w:val="00FD1E5E"/>
    <w:rsid w:val="00FE1DB7"/>
    <w:rsid w:val="00FE57BB"/>
    <w:rsid w:val="00FE582C"/>
    <w:rsid w:val="00FF0541"/>
    <w:rsid w:val="00FF25B5"/>
    <w:rsid w:val="00FF2CE2"/>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uiPriority="99" w:qFormat="1"/>
    <w:lsdException w:name="Emphasis" w:uiPriority="99" w:qFormat="1"/>
    <w:lsdException w:name="HTML Top of Form" w:uiPriority="99"/>
    <w:lsdException w:name="HTML Bottom of Form"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23F"/>
    <w:rPr>
      <w:sz w:val="22"/>
    </w:rPr>
  </w:style>
  <w:style w:type="paragraph" w:styleId="Heading1">
    <w:name w:val="heading 1"/>
    <w:basedOn w:val="Normal"/>
    <w:next w:val="Normal"/>
    <w:link w:val="Heading1Char"/>
    <w:uiPriority w:val="9"/>
    <w:qFormat/>
    <w:rsid w:val="001B023F"/>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1B023F"/>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1B023F"/>
    <w:pPr>
      <w:keepNext/>
      <w:spacing w:after="120"/>
      <w:jc w:val="both"/>
      <w:outlineLvl w:val="3"/>
    </w:pPr>
    <w:rPr>
      <w:b/>
      <w:smallCaps/>
    </w:rPr>
  </w:style>
  <w:style w:type="paragraph" w:styleId="Heading5">
    <w:name w:val="heading 5"/>
    <w:basedOn w:val="Normal"/>
    <w:next w:val="Normal"/>
    <w:link w:val="Heading5Char"/>
    <w:uiPriority w:val="9"/>
    <w:qFormat/>
    <w:rsid w:val="001B023F"/>
    <w:pPr>
      <w:keepNext/>
      <w:ind w:left="720" w:hanging="720"/>
      <w:jc w:val="center"/>
      <w:outlineLvl w:val="4"/>
    </w:pPr>
    <w:rPr>
      <w:b/>
      <w:caps/>
    </w:rPr>
  </w:style>
  <w:style w:type="paragraph" w:styleId="Heading6">
    <w:name w:val="heading 6"/>
    <w:basedOn w:val="Normal"/>
    <w:next w:val="Normal"/>
    <w:link w:val="Heading6Char"/>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1B023F"/>
    <w:pPr>
      <w:spacing w:after="120"/>
    </w:pPr>
  </w:style>
  <w:style w:type="paragraph" w:styleId="BodyText2">
    <w:name w:val="Body Text 2"/>
    <w:basedOn w:val="Normal"/>
    <w:link w:val="BodyText2Char"/>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rsid w:val="001B023F"/>
    <w:pPr>
      <w:tabs>
        <w:tab w:val="center" w:pos="4320"/>
        <w:tab w:val="right" w:pos="8640"/>
      </w:tabs>
    </w:pPr>
  </w:style>
  <w:style w:type="paragraph" w:styleId="Footer">
    <w:name w:val="footer"/>
    <w:basedOn w:val="Normal"/>
    <w:link w:val="FooterChar"/>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link w:val="BodyText3Char"/>
    <w:rsid w:val="001B023F"/>
    <w:pPr>
      <w:spacing w:after="120"/>
      <w:jc w:val="both"/>
    </w:pPr>
  </w:style>
  <w:style w:type="paragraph" w:styleId="BodyTextIndent">
    <w:name w:val="Body Text Indent"/>
    <w:basedOn w:val="Normal"/>
    <w:link w:val="BodyTextIndentChar"/>
    <w:rsid w:val="001B023F"/>
    <w:pPr>
      <w:numPr>
        <w:ilvl w:val="12"/>
      </w:numPr>
      <w:spacing w:after="120"/>
      <w:ind w:left="720" w:hanging="360"/>
    </w:pPr>
  </w:style>
  <w:style w:type="paragraph" w:styleId="BodyTextIndent2">
    <w:name w:val="Body Text Indent 2"/>
    <w:basedOn w:val="Normal"/>
    <w:link w:val="BodyTextIndent2Char"/>
    <w:rsid w:val="001B023F"/>
    <w:pPr>
      <w:spacing w:after="120"/>
      <w:ind w:left="360"/>
    </w:pPr>
  </w:style>
  <w:style w:type="paragraph" w:styleId="BodyTextIndent3">
    <w:name w:val="Body Text Indent 3"/>
    <w:basedOn w:val="Normal"/>
    <w:link w:val="BodyTextIndent3Char"/>
    <w:rsid w:val="001B023F"/>
    <w:pPr>
      <w:spacing w:after="120"/>
      <w:ind w:left="720" w:hanging="360"/>
      <w:jc w:val="both"/>
    </w:pPr>
  </w:style>
  <w:style w:type="paragraph" w:styleId="PlainText">
    <w:name w:val="Plain Text"/>
    <w:basedOn w:val="Normal"/>
    <w:link w:val="PlainTextChar"/>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uiPriority w:val="99"/>
    <w:qFormat/>
    <w:rsid w:val="001B023F"/>
    <w:rPr>
      <w:b/>
    </w:rPr>
  </w:style>
  <w:style w:type="paragraph" w:styleId="EndnoteText">
    <w:name w:val="endnote text"/>
    <w:basedOn w:val="Normal"/>
    <w:link w:val="EndnoteTextChar"/>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link w:val="FootnoteTextChar"/>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uiPriority w:val="99"/>
    <w:rsid w:val="001E5307"/>
    <w:rPr>
      <w:color w:val="800080"/>
      <w:u w:val="single"/>
    </w:rPr>
  </w:style>
  <w:style w:type="paragraph" w:styleId="HTMLPreformatted">
    <w:name w:val="HTML Preformatted"/>
    <w:basedOn w:val="Normal"/>
    <w:link w:val="HTMLPreformattedChar"/>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99"/>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50"/>
      </w:numPr>
    </w:pPr>
  </w:style>
  <w:style w:type="character" w:customStyle="1" w:styleId="PlainTextChar">
    <w:name w:val="Plain Text Char"/>
    <w:basedOn w:val="DefaultParagraphFont"/>
    <w:link w:val="PlainText"/>
    <w:rsid w:val="000C7228"/>
    <w:rPr>
      <w:rFonts w:ascii="Courier New" w:hAnsi="Courier New"/>
    </w:rPr>
  </w:style>
  <w:style w:type="character" w:customStyle="1" w:styleId="HTMLPreformattedChar">
    <w:name w:val="HTML Preformatted Char"/>
    <w:basedOn w:val="DefaultParagraphFont"/>
    <w:link w:val="HTMLPreformatted"/>
    <w:rsid w:val="000C7228"/>
    <w:rPr>
      <w:rFonts w:ascii="Courier New" w:eastAsia="MS Mincho" w:hAnsi="Courier New" w:cs="Courier New"/>
      <w:color w:val="000000"/>
      <w:lang w:eastAsia="ja-JP"/>
    </w:rPr>
  </w:style>
  <w:style w:type="character" w:customStyle="1" w:styleId="Heading1Char">
    <w:name w:val="Heading 1 Char"/>
    <w:basedOn w:val="DefaultParagraphFont"/>
    <w:link w:val="Heading1"/>
    <w:uiPriority w:val="9"/>
    <w:rsid w:val="000E57CD"/>
    <w:rPr>
      <w:b/>
      <w:smallCaps/>
      <w:sz w:val="22"/>
    </w:rPr>
  </w:style>
  <w:style w:type="character" w:customStyle="1" w:styleId="Heading2Char">
    <w:name w:val="Heading 2 Char"/>
    <w:basedOn w:val="DefaultParagraphFont"/>
    <w:link w:val="Heading2"/>
    <w:uiPriority w:val="9"/>
    <w:rsid w:val="000E57CD"/>
    <w:rPr>
      <w:b/>
      <w:smallCaps/>
      <w:sz w:val="22"/>
    </w:rPr>
  </w:style>
  <w:style w:type="character" w:customStyle="1" w:styleId="Heading3Char">
    <w:name w:val="Heading 3 Char"/>
    <w:basedOn w:val="DefaultParagraphFont"/>
    <w:link w:val="Heading3"/>
    <w:uiPriority w:val="9"/>
    <w:rsid w:val="000E57CD"/>
    <w:rPr>
      <w:b/>
      <w:smallCaps/>
      <w:spacing w:val="-3"/>
      <w:sz w:val="22"/>
    </w:rPr>
  </w:style>
  <w:style w:type="character" w:customStyle="1" w:styleId="Heading4Char">
    <w:name w:val="Heading 4 Char"/>
    <w:basedOn w:val="DefaultParagraphFont"/>
    <w:link w:val="Heading4"/>
    <w:uiPriority w:val="9"/>
    <w:rsid w:val="000E57CD"/>
    <w:rPr>
      <w:b/>
      <w:smallCaps/>
      <w:sz w:val="22"/>
    </w:rPr>
  </w:style>
  <w:style w:type="character" w:customStyle="1" w:styleId="Heading5Char">
    <w:name w:val="Heading 5 Char"/>
    <w:basedOn w:val="DefaultParagraphFont"/>
    <w:link w:val="Heading5"/>
    <w:uiPriority w:val="9"/>
    <w:rsid w:val="000E57CD"/>
    <w:rPr>
      <w:b/>
      <w:caps/>
      <w:sz w:val="22"/>
    </w:rPr>
  </w:style>
  <w:style w:type="character" w:customStyle="1" w:styleId="Heading6Char">
    <w:name w:val="Heading 6 Char"/>
    <w:basedOn w:val="DefaultParagraphFont"/>
    <w:link w:val="Heading6"/>
    <w:rsid w:val="000E57CD"/>
    <w:rPr>
      <w:rFonts w:ascii="Arial" w:hAnsi="Arial"/>
      <w:i/>
      <w:sz w:val="22"/>
    </w:rPr>
  </w:style>
  <w:style w:type="character" w:customStyle="1" w:styleId="Heading7Char">
    <w:name w:val="Heading 7 Char"/>
    <w:basedOn w:val="DefaultParagraphFont"/>
    <w:link w:val="Heading7"/>
    <w:rsid w:val="000E57CD"/>
    <w:rPr>
      <w:rFonts w:ascii="Arial" w:hAnsi="Arial"/>
    </w:rPr>
  </w:style>
  <w:style w:type="character" w:customStyle="1" w:styleId="Heading8Char">
    <w:name w:val="Heading 8 Char"/>
    <w:basedOn w:val="DefaultParagraphFont"/>
    <w:link w:val="Heading8"/>
    <w:rsid w:val="000E57CD"/>
    <w:rPr>
      <w:rFonts w:ascii="Arial" w:hAnsi="Arial"/>
      <w:i/>
    </w:rPr>
  </w:style>
  <w:style w:type="character" w:customStyle="1" w:styleId="Heading9Char">
    <w:name w:val="Heading 9 Char"/>
    <w:basedOn w:val="DefaultParagraphFont"/>
    <w:link w:val="Heading9"/>
    <w:rsid w:val="000E57CD"/>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0E57CD"/>
    <w:rPr>
      <w:sz w:val="22"/>
    </w:rPr>
  </w:style>
  <w:style w:type="character" w:customStyle="1" w:styleId="BodyText2Char">
    <w:name w:val="Body Text 2 Char"/>
    <w:basedOn w:val="DefaultParagraphFont"/>
    <w:link w:val="BodyText2"/>
    <w:rsid w:val="000E57CD"/>
    <w:rPr>
      <w:sz w:val="22"/>
    </w:rPr>
  </w:style>
  <w:style w:type="character" w:customStyle="1" w:styleId="FooterChar">
    <w:name w:val="Footer Char"/>
    <w:basedOn w:val="DefaultParagraphFont"/>
    <w:link w:val="Footer"/>
    <w:rsid w:val="000E57CD"/>
    <w:rPr>
      <w:sz w:val="22"/>
    </w:rPr>
  </w:style>
  <w:style w:type="character" w:customStyle="1" w:styleId="BodyText3Char">
    <w:name w:val="Body Text 3 Char"/>
    <w:basedOn w:val="DefaultParagraphFont"/>
    <w:link w:val="BodyText3"/>
    <w:rsid w:val="000E57CD"/>
    <w:rPr>
      <w:sz w:val="22"/>
    </w:rPr>
  </w:style>
  <w:style w:type="character" w:customStyle="1" w:styleId="BodyTextIndentChar">
    <w:name w:val="Body Text Indent Char"/>
    <w:basedOn w:val="DefaultParagraphFont"/>
    <w:link w:val="BodyTextIndent"/>
    <w:rsid w:val="000E57CD"/>
    <w:rPr>
      <w:sz w:val="22"/>
    </w:rPr>
  </w:style>
  <w:style w:type="character" w:customStyle="1" w:styleId="BodyTextIndent2Char">
    <w:name w:val="Body Text Indent 2 Char"/>
    <w:basedOn w:val="DefaultParagraphFont"/>
    <w:link w:val="BodyTextIndent2"/>
    <w:rsid w:val="000E57CD"/>
    <w:rPr>
      <w:sz w:val="22"/>
    </w:rPr>
  </w:style>
  <w:style w:type="character" w:customStyle="1" w:styleId="BodyTextIndent3Char">
    <w:name w:val="Body Text Indent 3 Char"/>
    <w:basedOn w:val="DefaultParagraphFont"/>
    <w:link w:val="BodyTextIndent3"/>
    <w:rsid w:val="000E57CD"/>
    <w:rPr>
      <w:sz w:val="22"/>
    </w:rPr>
  </w:style>
  <w:style w:type="character" w:customStyle="1" w:styleId="EndnoteTextChar">
    <w:name w:val="Endnote Text Char"/>
    <w:basedOn w:val="DefaultParagraphFont"/>
    <w:link w:val="EndnoteText"/>
    <w:semiHidden/>
    <w:rsid w:val="000E57CD"/>
  </w:style>
  <w:style w:type="character" w:customStyle="1" w:styleId="FootnoteTextChar">
    <w:name w:val="Footnote Text Char"/>
    <w:basedOn w:val="DefaultParagraphFont"/>
    <w:link w:val="FootnoteText"/>
    <w:semiHidden/>
    <w:rsid w:val="000E57CD"/>
  </w:style>
  <w:style w:type="numbering" w:customStyle="1" w:styleId="Style11">
    <w:name w:val="Style11"/>
    <w:uiPriority w:val="99"/>
    <w:rsid w:val="000E57CD"/>
  </w:style>
  <w:style w:type="paragraph" w:customStyle="1" w:styleId="td">
    <w:name w:val="td"/>
    <w:basedOn w:val="Normal"/>
    <w:rsid w:val="00D27B2F"/>
    <w:pPr>
      <w:spacing w:before="100" w:beforeAutospacing="1" w:after="100" w:afterAutospacing="1"/>
    </w:pPr>
    <w:rPr>
      <w:rFonts w:ascii="Arial" w:hAnsi="Arial" w:cs="Arial"/>
      <w:sz w:val="13"/>
      <w:szCs w:val="13"/>
    </w:rPr>
  </w:style>
  <w:style w:type="paragraph" w:customStyle="1" w:styleId="tr">
    <w:name w:val="tr"/>
    <w:basedOn w:val="Normal"/>
    <w:rsid w:val="00D27B2F"/>
    <w:pPr>
      <w:spacing w:before="100" w:beforeAutospacing="1" w:after="100" w:afterAutospacing="1"/>
    </w:pPr>
    <w:rPr>
      <w:rFonts w:ascii="Arial" w:hAnsi="Arial" w:cs="Arial"/>
      <w:sz w:val="13"/>
      <w:szCs w:val="13"/>
    </w:rPr>
  </w:style>
  <w:style w:type="paragraph" w:customStyle="1" w:styleId="h1">
    <w:name w:val="h1"/>
    <w:basedOn w:val="Normal"/>
    <w:rsid w:val="00D27B2F"/>
    <w:pPr>
      <w:spacing w:before="100" w:beforeAutospacing="1" w:after="100" w:afterAutospacing="1" w:line="360" w:lineRule="atLeast"/>
    </w:pPr>
    <w:rPr>
      <w:rFonts w:ascii="Arial" w:hAnsi="Arial" w:cs="Arial"/>
      <w:b/>
      <w:bCs/>
      <w:sz w:val="17"/>
      <w:szCs w:val="17"/>
    </w:rPr>
  </w:style>
  <w:style w:type="paragraph" w:customStyle="1" w:styleId="h2">
    <w:name w:val="h2"/>
    <w:basedOn w:val="Normal"/>
    <w:rsid w:val="00D27B2F"/>
    <w:pPr>
      <w:spacing w:before="100" w:beforeAutospacing="1"/>
    </w:pPr>
    <w:rPr>
      <w:rFonts w:ascii="Arial" w:hAnsi="Arial" w:cs="Arial"/>
      <w:b/>
      <w:bCs/>
      <w:color w:val="000000"/>
      <w:sz w:val="15"/>
      <w:szCs w:val="15"/>
    </w:rPr>
  </w:style>
  <w:style w:type="paragraph" w:customStyle="1" w:styleId="h3">
    <w:name w:val="h3"/>
    <w:basedOn w:val="Normal"/>
    <w:rsid w:val="00D27B2F"/>
    <w:pPr>
      <w:spacing w:before="100" w:beforeAutospacing="1"/>
    </w:pPr>
    <w:rPr>
      <w:rFonts w:ascii="Arial" w:hAnsi="Arial" w:cs="Arial"/>
      <w:b/>
      <w:bCs/>
      <w:sz w:val="13"/>
      <w:szCs w:val="13"/>
    </w:rPr>
  </w:style>
  <w:style w:type="paragraph" w:customStyle="1" w:styleId="Caption1">
    <w:name w:val="Caption1"/>
    <w:basedOn w:val="Normal"/>
    <w:rsid w:val="00D27B2F"/>
    <w:pPr>
      <w:spacing w:before="100" w:beforeAutospacing="1"/>
    </w:pPr>
    <w:rPr>
      <w:rFonts w:ascii="Arial" w:hAnsi="Arial" w:cs="Arial"/>
      <w:b/>
      <w:bCs/>
      <w:sz w:val="13"/>
      <w:szCs w:val="13"/>
    </w:rPr>
  </w:style>
  <w:style w:type="paragraph" w:customStyle="1" w:styleId="Footer1">
    <w:name w:val="Footer1"/>
    <w:basedOn w:val="Normal"/>
    <w:rsid w:val="00D27B2F"/>
    <w:pPr>
      <w:spacing w:before="100" w:beforeAutospacing="1" w:after="100" w:afterAutospacing="1"/>
      <w:jc w:val="center"/>
    </w:pPr>
    <w:rPr>
      <w:rFonts w:ascii="Arial" w:hAnsi="Arial" w:cs="Arial"/>
      <w:sz w:val="10"/>
      <w:szCs w:val="10"/>
    </w:rPr>
  </w:style>
  <w:style w:type="paragraph" w:customStyle="1" w:styleId="top">
    <w:name w:val="top"/>
    <w:basedOn w:val="Normal"/>
    <w:rsid w:val="00D27B2F"/>
    <w:pPr>
      <w:spacing w:before="100" w:beforeAutospacing="1" w:after="100" w:afterAutospacing="1"/>
      <w:jc w:val="right"/>
    </w:pPr>
    <w:rPr>
      <w:rFonts w:ascii="Arial" w:hAnsi="Arial" w:cs="Arial"/>
      <w:sz w:val="10"/>
      <w:szCs w:val="10"/>
    </w:rPr>
  </w:style>
  <w:style w:type="paragraph" w:customStyle="1" w:styleId="tablespacing">
    <w:name w:val="tablespacing"/>
    <w:basedOn w:val="Normal"/>
    <w:rsid w:val="00D27B2F"/>
    <w:pPr>
      <w:spacing w:before="100" w:beforeAutospacing="1" w:after="100" w:afterAutospacing="1"/>
    </w:pPr>
    <w:rPr>
      <w:sz w:val="24"/>
      <w:szCs w:val="24"/>
    </w:rPr>
  </w:style>
  <w:style w:type="paragraph" w:customStyle="1" w:styleId="fontsmall">
    <w:name w:val="fontsmall"/>
    <w:basedOn w:val="Normal"/>
    <w:rsid w:val="00D27B2F"/>
    <w:pPr>
      <w:spacing w:before="100" w:beforeAutospacing="1" w:after="100" w:afterAutospacing="1"/>
    </w:pPr>
    <w:rPr>
      <w:rFonts w:ascii="Arial" w:hAnsi="Arial" w:cs="Arial"/>
      <w:sz w:val="12"/>
      <w:szCs w:val="12"/>
    </w:rPr>
  </w:style>
  <w:style w:type="paragraph" w:customStyle="1" w:styleId="navigation">
    <w:name w:val="navigation"/>
    <w:basedOn w:val="Normal"/>
    <w:rsid w:val="00D27B2F"/>
    <w:pPr>
      <w:spacing w:before="100" w:beforeAutospacing="1" w:after="100" w:afterAutospacing="1"/>
    </w:pPr>
    <w:rPr>
      <w:rFonts w:ascii="Arial" w:hAnsi="Arial" w:cs="Arial"/>
      <w:sz w:val="10"/>
      <w:szCs w:val="10"/>
    </w:rPr>
  </w:style>
  <w:style w:type="paragraph" w:customStyle="1" w:styleId="invisiblelink">
    <w:name w:val="invisiblelink"/>
    <w:basedOn w:val="Normal"/>
    <w:rsid w:val="00D27B2F"/>
    <w:pPr>
      <w:spacing w:before="100" w:beforeAutospacing="1" w:after="100" w:afterAutospacing="1"/>
    </w:pPr>
    <w:rPr>
      <w:rFonts w:ascii="Arial" w:hAnsi="Arial" w:cs="Arial"/>
      <w:color w:val="FFFFFF"/>
      <w:sz w:val="10"/>
      <w:szCs w:val="10"/>
    </w:rPr>
  </w:style>
  <w:style w:type="paragraph" w:customStyle="1" w:styleId="toplogo">
    <w:name w:val="toplogo"/>
    <w:basedOn w:val="Normal"/>
    <w:rsid w:val="00D27B2F"/>
    <w:pPr>
      <w:spacing w:before="100" w:beforeAutospacing="1"/>
    </w:pPr>
    <w:rPr>
      <w:rFonts w:ascii="Arial" w:hAnsi="Arial" w:cs="Arial"/>
      <w:b/>
      <w:bCs/>
      <w:sz w:val="15"/>
      <w:szCs w:val="15"/>
    </w:rPr>
  </w:style>
  <w:style w:type="paragraph" w:customStyle="1" w:styleId="search">
    <w:name w:val="search"/>
    <w:basedOn w:val="Normal"/>
    <w:rsid w:val="00D27B2F"/>
    <w:pPr>
      <w:spacing w:before="100" w:beforeAutospacing="1" w:after="100" w:afterAutospacing="1"/>
    </w:pPr>
    <w:rPr>
      <w:rFonts w:ascii="Arial" w:hAnsi="Arial" w:cs="Arial"/>
      <w:sz w:val="10"/>
      <w:szCs w:val="10"/>
    </w:rPr>
  </w:style>
  <w:style w:type="paragraph" w:customStyle="1" w:styleId="side">
    <w:name w:val="side"/>
    <w:basedOn w:val="Normal"/>
    <w:rsid w:val="00D27B2F"/>
    <w:pPr>
      <w:spacing w:before="100" w:beforeAutospacing="1" w:after="100" w:afterAutospacing="1"/>
    </w:pPr>
    <w:rPr>
      <w:rFonts w:ascii="Arial" w:hAnsi="Arial" w:cs="Arial"/>
      <w:sz w:val="13"/>
      <w:szCs w:val="13"/>
    </w:rPr>
  </w:style>
  <w:style w:type="paragraph" w:customStyle="1" w:styleId="subparagraph">
    <w:name w:val="subparagraph"/>
    <w:basedOn w:val="Normal"/>
    <w:rsid w:val="00D27B2F"/>
    <w:pPr>
      <w:spacing w:before="100" w:beforeAutospacing="1" w:after="100" w:afterAutospacing="1"/>
    </w:pPr>
    <w:rPr>
      <w:rFonts w:ascii="Arial" w:hAnsi="Arial" w:cs="Arial"/>
      <w:sz w:val="13"/>
      <w:szCs w:val="13"/>
    </w:rPr>
  </w:style>
  <w:style w:type="paragraph" w:customStyle="1" w:styleId="head">
    <w:name w:val="head"/>
    <w:basedOn w:val="Normal"/>
    <w:rsid w:val="00D27B2F"/>
    <w:pPr>
      <w:spacing w:before="100" w:beforeAutospacing="1" w:after="100" w:afterAutospacing="1"/>
    </w:pPr>
    <w:rPr>
      <w:rFonts w:ascii="Arial" w:hAnsi="Arial" w:cs="Arial"/>
      <w:b/>
      <w:bCs/>
      <w:sz w:val="19"/>
      <w:szCs w:val="19"/>
    </w:rPr>
  </w:style>
  <w:style w:type="paragraph" w:customStyle="1" w:styleId="recentupdateslink">
    <w:name w:val="recentupdateslink"/>
    <w:basedOn w:val="Normal"/>
    <w:rsid w:val="00D27B2F"/>
    <w:pPr>
      <w:spacing w:before="100" w:beforeAutospacing="1" w:after="100" w:afterAutospacing="1"/>
    </w:pPr>
    <w:rPr>
      <w:rFonts w:ascii="Arial" w:hAnsi="Arial" w:cs="Arial"/>
      <w:b/>
      <w:bCs/>
      <w:sz w:val="13"/>
      <w:szCs w:val="13"/>
    </w:rPr>
  </w:style>
  <w:style w:type="paragraph" w:customStyle="1" w:styleId="updatetitle">
    <w:name w:val="updatetitle"/>
    <w:basedOn w:val="Normal"/>
    <w:rsid w:val="00D27B2F"/>
    <w:pPr>
      <w:spacing w:before="100" w:beforeAutospacing="1" w:after="100" w:afterAutospacing="1"/>
      <w:ind w:firstLine="100"/>
    </w:pPr>
    <w:rPr>
      <w:rFonts w:ascii="Arial" w:hAnsi="Arial" w:cs="Arial"/>
      <w:b/>
      <w:bCs/>
      <w:color w:val="FF0000"/>
      <w:sz w:val="15"/>
      <w:szCs w:val="15"/>
    </w:rPr>
  </w:style>
  <w:style w:type="paragraph" w:customStyle="1" w:styleId="updatebodytest">
    <w:name w:val="updatebodytest"/>
    <w:basedOn w:val="Normal"/>
    <w:rsid w:val="00D27B2F"/>
    <w:pPr>
      <w:spacing w:before="100" w:beforeAutospacing="1" w:after="100" w:afterAutospacing="1"/>
    </w:pPr>
    <w:rPr>
      <w:rFonts w:ascii="Arial" w:hAnsi="Arial" w:cs="Arial"/>
      <w:sz w:val="13"/>
      <w:szCs w:val="13"/>
    </w:rPr>
  </w:style>
  <w:style w:type="paragraph" w:customStyle="1" w:styleId="updatebold">
    <w:name w:val="updatebold"/>
    <w:basedOn w:val="Normal"/>
    <w:rsid w:val="00D27B2F"/>
    <w:pPr>
      <w:spacing w:before="100" w:beforeAutospacing="1" w:after="100" w:afterAutospacing="1"/>
    </w:pPr>
    <w:rPr>
      <w:rFonts w:ascii="Arial" w:hAnsi="Arial" w:cs="Arial"/>
      <w:b/>
      <w:bCs/>
      <w:sz w:val="13"/>
      <w:szCs w:val="13"/>
    </w:rPr>
  </w:style>
  <w:style w:type="paragraph" w:customStyle="1" w:styleId="body">
    <w:name w:val="body"/>
    <w:basedOn w:val="Normal"/>
    <w:rsid w:val="00D27B2F"/>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27B2F"/>
    <w:pPr>
      <w:spacing w:before="100" w:beforeAutospacing="1" w:after="100" w:afterAutospacing="1"/>
    </w:pPr>
    <w:rPr>
      <w:sz w:val="24"/>
      <w:szCs w:val="24"/>
      <w:u w:val="single"/>
    </w:rPr>
  </w:style>
  <w:style w:type="paragraph" w:customStyle="1" w:styleId="p">
    <w:name w:val="p"/>
    <w:basedOn w:val="Normal"/>
    <w:rsid w:val="00D27B2F"/>
    <w:pPr>
      <w:spacing w:before="100" w:beforeAutospacing="1" w:after="100" w:afterAutospacing="1"/>
      <w:jc w:val="center"/>
    </w:pPr>
    <w:rPr>
      <w:rFonts w:ascii="Arial" w:hAnsi="Arial" w:cs="Arial"/>
      <w:sz w:val="24"/>
      <w:szCs w:val="24"/>
    </w:rPr>
  </w:style>
  <w:style w:type="paragraph" w:customStyle="1" w:styleId="title">
    <w:name w:val="title"/>
    <w:basedOn w:val="Normal"/>
    <w:rsid w:val="00D27B2F"/>
    <w:pPr>
      <w:spacing w:before="100" w:beforeAutospacing="1" w:after="100" w:afterAutospacing="1"/>
    </w:pPr>
    <w:rPr>
      <w:rFonts w:ascii="Arial" w:hAnsi="Arial" w:cs="Arial"/>
      <w:b/>
      <w:bCs/>
      <w:sz w:val="21"/>
      <w:szCs w:val="21"/>
    </w:rPr>
  </w:style>
  <w:style w:type="paragraph" w:customStyle="1" w:styleId="subtitle">
    <w:name w:val="subtitle"/>
    <w:basedOn w:val="Normal"/>
    <w:rsid w:val="00D27B2F"/>
    <w:pPr>
      <w:spacing w:before="100" w:beforeAutospacing="1" w:after="100" w:afterAutospacing="1"/>
    </w:pPr>
    <w:rPr>
      <w:rFonts w:ascii="Arial" w:hAnsi="Arial" w:cs="Arial"/>
      <w:b/>
      <w:bCs/>
      <w:sz w:val="15"/>
      <w:szCs w:val="15"/>
    </w:rPr>
  </w:style>
  <w:style w:type="paragraph" w:customStyle="1" w:styleId="mainheader">
    <w:name w:val="mainheader"/>
    <w:basedOn w:val="Normal"/>
    <w:rsid w:val="00D27B2F"/>
    <w:pPr>
      <w:spacing w:before="100" w:beforeAutospacing="1" w:after="100" w:afterAutospacing="1"/>
    </w:pPr>
    <w:rPr>
      <w:b/>
      <w:bCs/>
      <w:sz w:val="31"/>
      <w:szCs w:val="31"/>
    </w:rPr>
  </w:style>
  <w:style w:type="paragraph" w:customStyle="1" w:styleId="chapter">
    <w:name w:val="chapter"/>
    <w:basedOn w:val="Normal"/>
    <w:rsid w:val="00D27B2F"/>
    <w:pPr>
      <w:spacing w:before="100" w:beforeAutospacing="1" w:after="100" w:afterAutospacing="1"/>
    </w:pPr>
    <w:rPr>
      <w:rFonts w:ascii="Arial" w:hAnsi="Arial" w:cs="Arial"/>
      <w:b/>
      <w:bCs/>
      <w:sz w:val="17"/>
      <w:szCs w:val="17"/>
    </w:rPr>
  </w:style>
  <w:style w:type="paragraph" w:customStyle="1" w:styleId="subchapter">
    <w:name w:val="subchapter"/>
    <w:basedOn w:val="Normal"/>
    <w:rsid w:val="00D27B2F"/>
    <w:pPr>
      <w:spacing w:before="100" w:beforeAutospacing="1" w:after="100" w:afterAutospacing="1"/>
    </w:pPr>
    <w:rPr>
      <w:rFonts w:ascii="Arial" w:hAnsi="Arial" w:cs="Arial"/>
      <w:b/>
      <w:bCs/>
      <w:sz w:val="15"/>
      <w:szCs w:val="15"/>
    </w:rPr>
  </w:style>
  <w:style w:type="paragraph" w:customStyle="1" w:styleId="part">
    <w:name w:val="part"/>
    <w:basedOn w:val="Normal"/>
    <w:rsid w:val="00D27B2F"/>
    <w:pPr>
      <w:spacing w:before="100" w:beforeAutospacing="1" w:after="100" w:afterAutospacing="1"/>
    </w:pPr>
    <w:rPr>
      <w:b/>
      <w:bCs/>
      <w:sz w:val="24"/>
      <w:szCs w:val="24"/>
    </w:rPr>
  </w:style>
  <w:style w:type="paragraph" w:customStyle="1" w:styleId="subpart">
    <w:name w:val="subpart"/>
    <w:basedOn w:val="Normal"/>
    <w:rsid w:val="00D27B2F"/>
    <w:pPr>
      <w:shd w:val="clear" w:color="auto" w:fill="FFFFFF"/>
      <w:spacing w:before="100" w:beforeAutospacing="1" w:after="100" w:afterAutospacing="1"/>
    </w:pPr>
    <w:rPr>
      <w:color w:val="0000FF"/>
      <w:szCs w:val="22"/>
    </w:rPr>
  </w:style>
  <w:style w:type="paragraph" w:customStyle="1" w:styleId="nopart">
    <w:name w:val="nopart"/>
    <w:basedOn w:val="Normal"/>
    <w:rsid w:val="00D27B2F"/>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27B2F"/>
    <w:pPr>
      <w:shd w:val="clear" w:color="auto" w:fill="FFFFFF"/>
      <w:spacing w:before="100" w:beforeAutospacing="1" w:after="100" w:afterAutospacing="1"/>
    </w:pPr>
    <w:rPr>
      <w:color w:val="FF0000"/>
      <w:sz w:val="24"/>
      <w:szCs w:val="24"/>
    </w:rPr>
  </w:style>
  <w:style w:type="paragraph" w:customStyle="1" w:styleId="menu">
    <w:name w:val="menu"/>
    <w:basedOn w:val="Normal"/>
    <w:rsid w:val="00D27B2F"/>
    <w:pPr>
      <w:spacing w:before="100" w:beforeAutospacing="1" w:after="100" w:afterAutospacing="1"/>
    </w:pPr>
    <w:rPr>
      <w:rFonts w:ascii="Arial" w:hAnsi="Arial" w:cs="Arial"/>
      <w:sz w:val="13"/>
      <w:szCs w:val="13"/>
    </w:rPr>
  </w:style>
  <w:style w:type="paragraph" w:customStyle="1" w:styleId="hilite">
    <w:name w:val="hilite"/>
    <w:basedOn w:val="Normal"/>
    <w:rsid w:val="00D27B2F"/>
    <w:pPr>
      <w:spacing w:before="100" w:beforeAutospacing="1" w:after="100" w:afterAutospacing="1"/>
    </w:pPr>
    <w:rPr>
      <w:b/>
      <w:bCs/>
      <w:color w:val="CC0000"/>
      <w:sz w:val="24"/>
      <w:szCs w:val="24"/>
    </w:rPr>
  </w:style>
  <w:style w:type="paragraph" w:customStyle="1" w:styleId="white">
    <w:name w:val="white"/>
    <w:basedOn w:val="Normal"/>
    <w:rsid w:val="00D27B2F"/>
    <w:rPr>
      <w:color w:val="FFFFFF"/>
      <w:sz w:val="24"/>
      <w:szCs w:val="24"/>
    </w:rPr>
  </w:style>
  <w:style w:type="paragraph" w:customStyle="1" w:styleId="hang">
    <w:name w:val="hang"/>
    <w:basedOn w:val="Normal"/>
    <w:rsid w:val="00D27B2F"/>
    <w:pPr>
      <w:spacing w:before="100" w:beforeAutospacing="1" w:after="100" w:afterAutospacing="1"/>
      <w:ind w:hanging="480"/>
    </w:pPr>
    <w:rPr>
      <w:sz w:val="24"/>
      <w:szCs w:val="24"/>
    </w:rPr>
  </w:style>
  <w:style w:type="paragraph" w:customStyle="1" w:styleId="tablediv">
    <w:name w:val="table_div"/>
    <w:basedOn w:val="Normal"/>
    <w:rsid w:val="00D27B2F"/>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tabledescription">
    <w:name w:val="table_description"/>
    <w:basedOn w:val="Normal"/>
    <w:rsid w:val="00D27B2F"/>
    <w:pPr>
      <w:spacing w:before="100" w:beforeAutospacing="1" w:after="100" w:afterAutospacing="1"/>
      <w:jc w:val="center"/>
    </w:pPr>
    <w:rPr>
      <w:sz w:val="24"/>
      <w:szCs w:val="24"/>
    </w:rPr>
  </w:style>
  <w:style w:type="paragraph" w:customStyle="1" w:styleId="tablecell">
    <w:name w:val="table_cell"/>
    <w:basedOn w:val="Normal"/>
    <w:rsid w:val="00D27B2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tablecolhed">
    <w:name w:val="table_colhed"/>
    <w:basedOn w:val="Normal"/>
    <w:rsid w:val="00D27B2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tablenote">
    <w:name w:val="table_note"/>
    <w:basedOn w:val="Normal"/>
    <w:rsid w:val="00D27B2F"/>
    <w:pPr>
      <w:spacing w:before="100" w:beforeAutospacing="1" w:after="100" w:afterAutospacing="1"/>
    </w:pPr>
    <w:rPr>
      <w:sz w:val="24"/>
      <w:szCs w:val="24"/>
    </w:rPr>
  </w:style>
  <w:style w:type="numbering" w:customStyle="1" w:styleId="NoList1">
    <w:name w:val="No List1"/>
    <w:next w:val="NoList"/>
    <w:uiPriority w:val="99"/>
    <w:semiHidden/>
    <w:rsid w:val="00E41D5F"/>
  </w:style>
  <w:style w:type="numbering" w:customStyle="1" w:styleId="NoList2">
    <w:name w:val="No List2"/>
    <w:next w:val="NoList"/>
    <w:uiPriority w:val="99"/>
    <w:semiHidden/>
    <w:unhideWhenUsed/>
    <w:rsid w:val="00A24CEF"/>
  </w:style>
  <w:style w:type="paragraph" w:customStyle="1" w:styleId="fullcenter">
    <w:name w:val="fullcenter"/>
    <w:basedOn w:val="Normal"/>
    <w:rsid w:val="00A24CEF"/>
    <w:pPr>
      <w:spacing w:before="100" w:beforeAutospacing="1" w:after="100" w:afterAutospacing="1"/>
      <w:jc w:val="center"/>
    </w:pPr>
    <w:rPr>
      <w:sz w:val="24"/>
      <w:szCs w:val="24"/>
    </w:rPr>
  </w:style>
  <w:style w:type="paragraph" w:customStyle="1" w:styleId="linktoamn">
    <w:name w:val="linktoamn"/>
    <w:basedOn w:val="Normal"/>
    <w:rsid w:val="00A24CEF"/>
    <w:pPr>
      <w:spacing w:before="100" w:beforeAutospacing="1" w:after="100" w:afterAutospacing="1"/>
      <w:jc w:val="center"/>
    </w:pPr>
    <w:rPr>
      <w:sz w:val="24"/>
      <w:szCs w:val="24"/>
    </w:rPr>
  </w:style>
  <w:style w:type="paragraph" w:customStyle="1" w:styleId="bfrpage">
    <w:name w:val="bfrpage"/>
    <w:basedOn w:val="Normal"/>
    <w:rsid w:val="00A24CEF"/>
    <w:pPr>
      <w:spacing w:before="100" w:beforeAutospacing="1" w:after="100" w:afterAutospacing="1"/>
      <w:jc w:val="center"/>
    </w:pPr>
    <w:rPr>
      <w:sz w:val="24"/>
      <w:szCs w:val="24"/>
    </w:rPr>
  </w:style>
  <w:style w:type="paragraph" w:customStyle="1" w:styleId="breghd">
    <w:name w:val="breghd"/>
    <w:basedOn w:val="Normal"/>
    <w:rsid w:val="00A24CEF"/>
    <w:pPr>
      <w:spacing w:before="100" w:beforeAutospacing="1" w:after="100" w:afterAutospacing="1"/>
    </w:pPr>
    <w:rPr>
      <w:sz w:val="24"/>
      <w:szCs w:val="24"/>
    </w:rPr>
  </w:style>
  <w:style w:type="paragraph" w:customStyle="1" w:styleId="effdates">
    <w:name w:val="effdates"/>
    <w:basedOn w:val="Normal"/>
    <w:rsid w:val="00A24CEF"/>
    <w:pPr>
      <w:spacing w:before="100" w:beforeAutospacing="1" w:after="100" w:afterAutospacing="1"/>
      <w:ind w:firstLine="480"/>
    </w:pPr>
    <w:rPr>
      <w:smallCaps/>
      <w:sz w:val="24"/>
      <w:szCs w:val="24"/>
    </w:rPr>
  </w:style>
  <w:style w:type="paragraph" w:customStyle="1" w:styleId="updated">
    <w:name w:val="updated"/>
    <w:basedOn w:val="Normal"/>
    <w:rsid w:val="00A24CEF"/>
    <w:pPr>
      <w:spacing w:before="100" w:beforeAutospacing="1" w:after="100" w:afterAutospacing="1"/>
      <w:jc w:val="center"/>
    </w:pPr>
    <w:rPr>
      <w:rFonts w:ascii="Arial" w:hAnsi="Arial" w:cs="Arial"/>
      <w:b/>
      <w:bCs/>
      <w:color w:val="FF0000"/>
      <w:sz w:val="19"/>
      <w:szCs w:val="19"/>
    </w:rPr>
  </w:style>
  <w:style w:type="paragraph" w:customStyle="1" w:styleId="contact">
    <w:name w:val="contact"/>
    <w:basedOn w:val="Normal"/>
    <w:rsid w:val="00A24CEF"/>
    <w:pPr>
      <w:spacing w:before="100" w:beforeAutospacing="1" w:after="100" w:afterAutospacing="1"/>
    </w:pPr>
    <w:rPr>
      <w:sz w:val="12"/>
      <w:szCs w:val="12"/>
    </w:rPr>
  </w:style>
  <w:style w:type="paragraph" w:customStyle="1" w:styleId="top-menu">
    <w:name w:val="top-menu"/>
    <w:basedOn w:val="Normal"/>
    <w:rsid w:val="00A24CEF"/>
    <w:pPr>
      <w:spacing w:before="100" w:beforeAutospacing="1" w:after="100" w:afterAutospacing="1"/>
      <w:ind w:firstLine="480"/>
    </w:pPr>
    <w:rPr>
      <w:sz w:val="24"/>
      <w:szCs w:val="24"/>
    </w:rPr>
  </w:style>
  <w:style w:type="paragraph" w:customStyle="1" w:styleId="top-menu-pipe">
    <w:name w:val="top-menu-pipe"/>
    <w:basedOn w:val="Normal"/>
    <w:rsid w:val="00A24CEF"/>
    <w:pPr>
      <w:ind w:firstLine="480"/>
    </w:pPr>
    <w:rPr>
      <w:sz w:val="24"/>
      <w:szCs w:val="24"/>
    </w:rPr>
  </w:style>
  <w:style w:type="paragraph" w:customStyle="1" w:styleId="clear">
    <w:name w:val="clear"/>
    <w:basedOn w:val="Normal"/>
    <w:rsid w:val="00A24CEF"/>
    <w:pPr>
      <w:spacing w:before="100" w:beforeAutospacing="1" w:after="100" w:afterAutospacing="1"/>
      <w:ind w:firstLine="480"/>
    </w:pPr>
    <w:rPr>
      <w:sz w:val="24"/>
      <w:szCs w:val="24"/>
    </w:rPr>
  </w:style>
  <w:style w:type="paragraph" w:customStyle="1" w:styleId="hits">
    <w:name w:val="hits"/>
    <w:basedOn w:val="Normal"/>
    <w:rsid w:val="00A24CEF"/>
    <w:pPr>
      <w:spacing w:before="100" w:beforeAutospacing="1" w:after="100" w:afterAutospacing="1"/>
      <w:ind w:firstLine="480"/>
    </w:pPr>
    <w:rPr>
      <w:color w:val="FF0000"/>
      <w:sz w:val="24"/>
      <w:szCs w:val="24"/>
    </w:rPr>
  </w:style>
  <w:style w:type="paragraph" w:customStyle="1" w:styleId="menu-home-title">
    <w:name w:val="menu-home-title"/>
    <w:basedOn w:val="Normal"/>
    <w:rsid w:val="00A24CEF"/>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A24CEF"/>
    <w:pPr>
      <w:spacing w:before="100" w:beforeAutospacing="1" w:after="100" w:afterAutospacing="1"/>
      <w:ind w:firstLine="480"/>
    </w:pPr>
    <w:rPr>
      <w:color w:val="666633"/>
      <w:sz w:val="24"/>
      <w:szCs w:val="24"/>
    </w:rPr>
  </w:style>
  <w:style w:type="paragraph" w:customStyle="1" w:styleId="menu-vendors-title">
    <w:name w:val="menu-vendors-title"/>
    <w:basedOn w:val="Normal"/>
    <w:rsid w:val="00A24CEF"/>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A24CEF"/>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A24CEF"/>
    <w:pPr>
      <w:pBdr>
        <w:top w:val="single" w:sz="18"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A24CEF"/>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A24CEF"/>
    <w:pPr>
      <w:spacing w:before="100" w:beforeAutospacing="1" w:after="100" w:afterAutospacing="1"/>
      <w:ind w:firstLine="480"/>
    </w:pPr>
    <w:rPr>
      <w:color w:val="990033"/>
      <w:sz w:val="24"/>
      <w:szCs w:val="24"/>
    </w:rPr>
  </w:style>
  <w:style w:type="paragraph" w:customStyle="1" w:styleId="left-menu-title">
    <w:name w:val="left-menu-title"/>
    <w:basedOn w:val="Normal"/>
    <w:rsid w:val="00A24CEF"/>
    <w:pPr>
      <w:spacing w:before="100" w:beforeAutospacing="1" w:after="100" w:afterAutospacing="1" w:line="146" w:lineRule="atLeast"/>
      <w:ind w:firstLine="480"/>
    </w:pPr>
    <w:rPr>
      <w:b/>
      <w:bCs/>
      <w:spacing w:val="10"/>
      <w:sz w:val="12"/>
      <w:szCs w:val="12"/>
    </w:rPr>
  </w:style>
  <w:style w:type="paragraph" w:customStyle="1" w:styleId="left-menu-sublinks">
    <w:name w:val="left-menu-sublinks"/>
    <w:basedOn w:val="Normal"/>
    <w:rsid w:val="00A24CEF"/>
    <w:pPr>
      <w:spacing w:before="100" w:beforeAutospacing="1" w:after="100" w:afterAutospacing="1"/>
      <w:ind w:left="104" w:firstLine="480"/>
    </w:pPr>
    <w:rPr>
      <w:sz w:val="24"/>
      <w:szCs w:val="24"/>
    </w:rPr>
  </w:style>
  <w:style w:type="paragraph" w:customStyle="1" w:styleId="sidebar-title-bar">
    <w:name w:val="sidebar-title-bar"/>
    <w:basedOn w:val="Normal"/>
    <w:rsid w:val="00A24CEF"/>
    <w:pPr>
      <w:shd w:val="clear" w:color="auto" w:fill="999999"/>
      <w:spacing w:before="100" w:beforeAutospacing="1" w:after="100" w:afterAutospacing="1"/>
      <w:ind w:firstLine="480"/>
    </w:pPr>
    <w:rPr>
      <w:color w:val="FFFFFF"/>
      <w:spacing w:val="14"/>
      <w:sz w:val="12"/>
      <w:szCs w:val="12"/>
    </w:rPr>
  </w:style>
  <w:style w:type="paragraph" w:customStyle="1" w:styleId="collection-latest-resources-mask">
    <w:name w:val="collection-latest-resources-mask"/>
    <w:basedOn w:val="Normal"/>
    <w:rsid w:val="00A24CEF"/>
    <w:pPr>
      <w:spacing w:before="104" w:after="100" w:afterAutospacing="1"/>
      <w:ind w:firstLine="480"/>
    </w:pPr>
    <w:rPr>
      <w:sz w:val="24"/>
      <w:szCs w:val="24"/>
    </w:rPr>
  </w:style>
  <w:style w:type="paragraph" w:customStyle="1" w:styleId="vert-spacer-450">
    <w:name w:val="vert-spacer-450"/>
    <w:basedOn w:val="Normal"/>
    <w:rsid w:val="00A24CEF"/>
    <w:pPr>
      <w:spacing w:before="100" w:beforeAutospacing="1" w:after="100" w:afterAutospacing="1"/>
      <w:ind w:firstLine="480"/>
    </w:pPr>
    <w:rPr>
      <w:sz w:val="24"/>
      <w:szCs w:val="24"/>
    </w:rPr>
  </w:style>
  <w:style w:type="paragraph" w:customStyle="1" w:styleId="page-title">
    <w:name w:val="page-title"/>
    <w:basedOn w:val="Normal"/>
    <w:rsid w:val="00A24CEF"/>
    <w:pPr>
      <w:ind w:firstLine="480"/>
    </w:pPr>
    <w:rPr>
      <w:caps/>
      <w:sz w:val="19"/>
      <w:szCs w:val="19"/>
    </w:rPr>
  </w:style>
  <w:style w:type="paragraph" w:customStyle="1" w:styleId="hd1">
    <w:name w:val="hd1"/>
    <w:basedOn w:val="Normal"/>
    <w:rsid w:val="00A24CEF"/>
    <w:pPr>
      <w:spacing w:before="100" w:beforeAutospacing="1" w:after="100" w:afterAutospacing="1"/>
      <w:ind w:firstLine="480"/>
      <w:jc w:val="center"/>
    </w:pPr>
    <w:rPr>
      <w:smallCaps/>
      <w:sz w:val="24"/>
      <w:szCs w:val="24"/>
    </w:rPr>
  </w:style>
  <w:style w:type="paragraph" w:customStyle="1" w:styleId="hd2">
    <w:name w:val="hd2"/>
    <w:basedOn w:val="Normal"/>
    <w:rsid w:val="00A24CEF"/>
    <w:pPr>
      <w:spacing w:before="100" w:beforeAutospacing="1" w:after="100" w:afterAutospacing="1"/>
      <w:ind w:firstLine="480"/>
      <w:jc w:val="center"/>
    </w:pPr>
    <w:rPr>
      <w:i/>
      <w:iCs/>
      <w:sz w:val="24"/>
      <w:szCs w:val="24"/>
    </w:rPr>
  </w:style>
  <w:style w:type="paragraph" w:customStyle="1" w:styleId="hd3">
    <w:name w:val="hd3"/>
    <w:basedOn w:val="Normal"/>
    <w:rsid w:val="00A24CEF"/>
    <w:pPr>
      <w:spacing w:before="100" w:beforeAutospacing="1" w:after="100" w:afterAutospacing="1"/>
      <w:ind w:firstLine="480"/>
      <w:jc w:val="center"/>
    </w:pPr>
    <w:rPr>
      <w:sz w:val="24"/>
      <w:szCs w:val="24"/>
    </w:rPr>
  </w:style>
  <w:style w:type="paragraph" w:customStyle="1" w:styleId="hd4">
    <w:name w:val="hd4"/>
    <w:basedOn w:val="Normal"/>
    <w:rsid w:val="00A24CEF"/>
    <w:pPr>
      <w:spacing w:before="100" w:beforeAutospacing="1" w:after="100" w:afterAutospacing="1"/>
      <w:ind w:firstLine="480"/>
      <w:jc w:val="center"/>
    </w:pPr>
    <w:rPr>
      <w:sz w:val="24"/>
      <w:szCs w:val="24"/>
    </w:rPr>
  </w:style>
  <w:style w:type="paragraph" w:customStyle="1" w:styleId="hd5">
    <w:name w:val="hd5"/>
    <w:basedOn w:val="Normal"/>
    <w:rsid w:val="00A24CEF"/>
    <w:pPr>
      <w:spacing w:before="100" w:beforeAutospacing="1" w:after="100" w:afterAutospacing="1"/>
      <w:ind w:firstLine="480"/>
      <w:jc w:val="center"/>
    </w:pPr>
    <w:rPr>
      <w:b/>
      <w:bCs/>
      <w:sz w:val="16"/>
      <w:szCs w:val="16"/>
    </w:rPr>
  </w:style>
  <w:style w:type="paragraph" w:customStyle="1" w:styleId="hed1">
    <w:name w:val="hed1"/>
    <w:basedOn w:val="Normal"/>
    <w:rsid w:val="00A24CEF"/>
    <w:pPr>
      <w:spacing w:before="100" w:beforeAutospacing="1" w:after="100" w:afterAutospacing="1"/>
      <w:ind w:firstLine="480"/>
      <w:jc w:val="center"/>
    </w:pPr>
    <w:rPr>
      <w:b/>
      <w:bCs/>
      <w:sz w:val="14"/>
      <w:szCs w:val="14"/>
    </w:rPr>
  </w:style>
  <w:style w:type="paragraph" w:customStyle="1" w:styleId="frp">
    <w:name w:val="frp"/>
    <w:basedOn w:val="Normal"/>
    <w:rsid w:val="00A24CEF"/>
    <w:pPr>
      <w:spacing w:before="100" w:beforeAutospacing="1" w:after="100" w:afterAutospacing="1"/>
      <w:ind w:right="480"/>
      <w:jc w:val="right"/>
    </w:pPr>
    <w:rPr>
      <w:sz w:val="24"/>
      <w:szCs w:val="24"/>
    </w:rPr>
  </w:style>
  <w:style w:type="paragraph" w:customStyle="1" w:styleId="frp0">
    <w:name w:val="frp0"/>
    <w:basedOn w:val="Normal"/>
    <w:rsid w:val="00A24CEF"/>
    <w:pPr>
      <w:spacing w:before="100" w:beforeAutospacing="1" w:after="100" w:afterAutospacing="1"/>
      <w:jc w:val="right"/>
    </w:pPr>
    <w:rPr>
      <w:sz w:val="24"/>
      <w:szCs w:val="24"/>
    </w:rPr>
  </w:style>
  <w:style w:type="paragraph" w:customStyle="1" w:styleId="p1">
    <w:name w:val="p1"/>
    <w:basedOn w:val="Normal"/>
    <w:rsid w:val="00A24CEF"/>
    <w:pPr>
      <w:spacing w:before="100" w:beforeAutospacing="1" w:after="100" w:afterAutospacing="1"/>
      <w:ind w:left="1440" w:hanging="480"/>
    </w:pPr>
    <w:rPr>
      <w:sz w:val="24"/>
      <w:szCs w:val="24"/>
    </w:rPr>
  </w:style>
  <w:style w:type="paragraph" w:customStyle="1" w:styleId="p-1">
    <w:name w:val="p-1"/>
    <w:basedOn w:val="Normal"/>
    <w:rsid w:val="00A24CEF"/>
    <w:pPr>
      <w:spacing w:before="100" w:beforeAutospacing="1" w:after="100" w:afterAutospacing="1"/>
      <w:ind w:left="480"/>
    </w:pPr>
    <w:rPr>
      <w:sz w:val="24"/>
      <w:szCs w:val="24"/>
    </w:rPr>
  </w:style>
  <w:style w:type="paragraph" w:customStyle="1" w:styleId="p2">
    <w:name w:val="p2"/>
    <w:basedOn w:val="Normal"/>
    <w:rsid w:val="00A24CEF"/>
    <w:pPr>
      <w:spacing w:before="100" w:beforeAutospacing="1" w:after="100" w:afterAutospacing="1"/>
      <w:ind w:left="480" w:firstLine="480"/>
    </w:pPr>
    <w:rPr>
      <w:sz w:val="24"/>
      <w:szCs w:val="24"/>
    </w:rPr>
  </w:style>
  <w:style w:type="paragraph" w:customStyle="1" w:styleId="p-2">
    <w:name w:val="p-2"/>
    <w:basedOn w:val="Normal"/>
    <w:rsid w:val="00A24CEF"/>
    <w:pPr>
      <w:spacing w:before="100" w:beforeAutospacing="1" w:after="100" w:afterAutospacing="1"/>
      <w:ind w:left="960"/>
    </w:pPr>
    <w:rPr>
      <w:sz w:val="24"/>
      <w:szCs w:val="24"/>
    </w:rPr>
  </w:style>
  <w:style w:type="paragraph" w:customStyle="1" w:styleId="p-3">
    <w:name w:val="p-3"/>
    <w:basedOn w:val="Normal"/>
    <w:rsid w:val="00A24CEF"/>
    <w:pPr>
      <w:spacing w:before="100" w:beforeAutospacing="1" w:after="100" w:afterAutospacing="1"/>
      <w:ind w:left="960" w:hanging="480"/>
    </w:pPr>
    <w:rPr>
      <w:sz w:val="24"/>
      <w:szCs w:val="24"/>
    </w:rPr>
  </w:style>
  <w:style w:type="paragraph" w:customStyle="1" w:styleId="fp">
    <w:name w:val="fp"/>
    <w:basedOn w:val="Normal"/>
    <w:rsid w:val="00A24CEF"/>
    <w:pPr>
      <w:spacing w:before="200" w:after="100" w:afterAutospacing="1"/>
    </w:pPr>
    <w:rPr>
      <w:sz w:val="24"/>
      <w:szCs w:val="24"/>
    </w:rPr>
  </w:style>
  <w:style w:type="paragraph" w:customStyle="1" w:styleId="contentsp">
    <w:name w:val="contentsp"/>
    <w:basedOn w:val="Normal"/>
    <w:rsid w:val="00A24CEF"/>
    <w:pPr>
      <w:spacing w:before="200" w:after="100" w:afterAutospacing="1"/>
    </w:pPr>
    <w:rPr>
      <w:b/>
      <w:bCs/>
      <w:sz w:val="14"/>
      <w:szCs w:val="14"/>
    </w:rPr>
  </w:style>
  <w:style w:type="paragraph" w:customStyle="1" w:styleId="contentsg">
    <w:name w:val="contentsg"/>
    <w:basedOn w:val="Normal"/>
    <w:rsid w:val="00A24CEF"/>
    <w:pPr>
      <w:spacing w:before="200" w:after="100" w:afterAutospacing="1"/>
    </w:pPr>
    <w:rPr>
      <w:smallCaps/>
      <w:sz w:val="14"/>
      <w:szCs w:val="14"/>
    </w:rPr>
  </w:style>
  <w:style w:type="paragraph" w:customStyle="1" w:styleId="source">
    <w:name w:val="source"/>
    <w:basedOn w:val="Normal"/>
    <w:rsid w:val="00A24CEF"/>
    <w:pPr>
      <w:spacing w:before="200" w:after="100" w:afterAutospacing="1"/>
      <w:ind w:firstLine="480"/>
    </w:pPr>
    <w:rPr>
      <w:sz w:val="13"/>
      <w:szCs w:val="13"/>
    </w:rPr>
  </w:style>
  <w:style w:type="paragraph" w:customStyle="1" w:styleId="ednote">
    <w:name w:val="ednote"/>
    <w:basedOn w:val="Normal"/>
    <w:rsid w:val="00A24CEF"/>
    <w:pPr>
      <w:spacing w:before="200" w:after="100" w:afterAutospacing="1"/>
      <w:ind w:firstLine="480"/>
    </w:pPr>
    <w:rPr>
      <w:sz w:val="13"/>
      <w:szCs w:val="13"/>
    </w:rPr>
  </w:style>
  <w:style w:type="paragraph" w:customStyle="1" w:styleId="effdnot">
    <w:name w:val="effdnot"/>
    <w:basedOn w:val="Normal"/>
    <w:rsid w:val="00A24CEF"/>
    <w:pPr>
      <w:spacing w:before="200" w:after="100" w:afterAutospacing="1"/>
      <w:ind w:firstLine="480"/>
    </w:pPr>
    <w:rPr>
      <w:sz w:val="13"/>
      <w:szCs w:val="13"/>
    </w:rPr>
  </w:style>
  <w:style w:type="paragraph" w:customStyle="1" w:styleId="example">
    <w:name w:val="example"/>
    <w:basedOn w:val="Normal"/>
    <w:rsid w:val="00A24CEF"/>
    <w:pPr>
      <w:spacing w:before="200" w:after="100" w:afterAutospacing="1"/>
      <w:ind w:firstLine="480"/>
    </w:pPr>
    <w:rPr>
      <w:sz w:val="13"/>
      <w:szCs w:val="13"/>
    </w:rPr>
  </w:style>
  <w:style w:type="paragraph" w:customStyle="1" w:styleId="crossref">
    <w:name w:val="crossref"/>
    <w:basedOn w:val="Normal"/>
    <w:rsid w:val="00A24CEF"/>
    <w:pPr>
      <w:spacing w:before="200" w:after="100" w:afterAutospacing="1"/>
      <w:ind w:firstLine="480"/>
    </w:pPr>
    <w:rPr>
      <w:sz w:val="13"/>
      <w:szCs w:val="13"/>
    </w:rPr>
  </w:style>
  <w:style w:type="paragraph" w:customStyle="1" w:styleId="note">
    <w:name w:val="note"/>
    <w:basedOn w:val="Normal"/>
    <w:rsid w:val="00A24CEF"/>
    <w:pPr>
      <w:spacing w:before="200" w:after="100" w:afterAutospacing="1"/>
      <w:ind w:firstLine="480"/>
    </w:pPr>
    <w:rPr>
      <w:sz w:val="13"/>
      <w:szCs w:val="13"/>
    </w:rPr>
  </w:style>
  <w:style w:type="paragraph" w:customStyle="1" w:styleId="cita">
    <w:name w:val="cita"/>
    <w:basedOn w:val="Normal"/>
    <w:rsid w:val="00A24CEF"/>
    <w:pPr>
      <w:spacing w:before="200" w:after="100" w:afterAutospacing="1"/>
    </w:pPr>
    <w:rPr>
      <w:sz w:val="13"/>
      <w:szCs w:val="13"/>
    </w:rPr>
  </w:style>
  <w:style w:type="paragraph" w:customStyle="1" w:styleId="appro">
    <w:name w:val="appro"/>
    <w:basedOn w:val="Normal"/>
    <w:rsid w:val="00A24CEF"/>
    <w:pPr>
      <w:spacing w:before="200" w:after="100" w:afterAutospacing="1"/>
    </w:pPr>
    <w:rPr>
      <w:sz w:val="13"/>
      <w:szCs w:val="13"/>
    </w:rPr>
  </w:style>
  <w:style w:type="paragraph" w:customStyle="1" w:styleId="auth">
    <w:name w:val="auth"/>
    <w:basedOn w:val="Normal"/>
    <w:rsid w:val="00A24CEF"/>
    <w:pPr>
      <w:spacing w:before="200" w:after="100" w:afterAutospacing="1"/>
      <w:ind w:firstLine="480"/>
    </w:pPr>
    <w:rPr>
      <w:sz w:val="13"/>
      <w:szCs w:val="13"/>
    </w:rPr>
  </w:style>
  <w:style w:type="paragraph" w:customStyle="1" w:styleId="parauth">
    <w:name w:val="parauth"/>
    <w:basedOn w:val="Normal"/>
    <w:rsid w:val="00A24CEF"/>
    <w:pPr>
      <w:spacing w:before="200" w:after="100" w:afterAutospacing="1"/>
    </w:pPr>
    <w:rPr>
      <w:sz w:val="13"/>
      <w:szCs w:val="13"/>
    </w:rPr>
  </w:style>
  <w:style w:type="paragraph" w:customStyle="1" w:styleId="secauth">
    <w:name w:val="secauth"/>
    <w:basedOn w:val="Normal"/>
    <w:rsid w:val="00A24CEF"/>
    <w:pPr>
      <w:spacing w:before="200" w:after="100" w:afterAutospacing="1"/>
    </w:pPr>
    <w:rPr>
      <w:sz w:val="13"/>
      <w:szCs w:val="13"/>
    </w:rPr>
  </w:style>
  <w:style w:type="paragraph" w:customStyle="1" w:styleId="apphead">
    <w:name w:val="apphead"/>
    <w:basedOn w:val="Normal"/>
    <w:rsid w:val="00A24CEF"/>
    <w:pPr>
      <w:spacing w:before="200" w:after="100"/>
      <w:ind w:firstLine="480"/>
      <w:jc w:val="center"/>
    </w:pPr>
    <w:rPr>
      <w:smallCaps/>
      <w:sz w:val="14"/>
      <w:szCs w:val="14"/>
    </w:rPr>
  </w:style>
  <w:style w:type="paragraph" w:customStyle="1" w:styleId="sphead">
    <w:name w:val="sphead"/>
    <w:basedOn w:val="Normal"/>
    <w:rsid w:val="00A24CEF"/>
    <w:pPr>
      <w:spacing w:before="200" w:after="100"/>
    </w:pPr>
    <w:rPr>
      <w:b/>
      <w:bCs/>
      <w:sz w:val="19"/>
      <w:szCs w:val="19"/>
    </w:rPr>
  </w:style>
  <w:style w:type="paragraph" w:customStyle="1" w:styleId="sghead">
    <w:name w:val="sghead"/>
    <w:basedOn w:val="Normal"/>
    <w:rsid w:val="00A24CEF"/>
    <w:pPr>
      <w:spacing w:before="200" w:after="100"/>
      <w:jc w:val="center"/>
    </w:pPr>
    <w:rPr>
      <w:smallCaps/>
      <w:sz w:val="14"/>
      <w:szCs w:val="14"/>
    </w:rPr>
  </w:style>
  <w:style w:type="paragraph" w:customStyle="1" w:styleId="stars">
    <w:name w:val="stars"/>
    <w:basedOn w:val="Normal"/>
    <w:rsid w:val="00A24CEF"/>
    <w:pPr>
      <w:spacing w:before="100" w:beforeAutospacing="1" w:after="100" w:afterAutospacing="1"/>
      <w:ind w:firstLine="480"/>
    </w:pPr>
    <w:rPr>
      <w:sz w:val="24"/>
      <w:szCs w:val="24"/>
    </w:rPr>
  </w:style>
  <w:style w:type="paragraph" w:customStyle="1" w:styleId="tcap">
    <w:name w:val="tcap"/>
    <w:basedOn w:val="Normal"/>
    <w:rsid w:val="00A24CEF"/>
    <w:pPr>
      <w:spacing w:before="100" w:beforeAutospacing="1" w:after="100" w:afterAutospacing="1"/>
      <w:ind w:firstLine="480"/>
      <w:jc w:val="center"/>
    </w:pPr>
    <w:rPr>
      <w:sz w:val="24"/>
      <w:szCs w:val="24"/>
    </w:rPr>
  </w:style>
  <w:style w:type="paragraph" w:customStyle="1" w:styleId="bcap">
    <w:name w:val="bcap"/>
    <w:basedOn w:val="Normal"/>
    <w:rsid w:val="00A24CEF"/>
    <w:pPr>
      <w:spacing w:before="100" w:beforeAutospacing="1" w:after="100" w:afterAutospacing="1"/>
      <w:ind w:firstLine="480"/>
    </w:pPr>
    <w:rPr>
      <w:sz w:val="24"/>
      <w:szCs w:val="24"/>
    </w:rPr>
  </w:style>
  <w:style w:type="paragraph" w:customStyle="1" w:styleId="fp-1">
    <w:name w:val="fp-1"/>
    <w:basedOn w:val="Normal"/>
    <w:rsid w:val="00A24CEF"/>
    <w:pPr>
      <w:spacing w:before="200" w:after="100"/>
      <w:ind w:left="480" w:hanging="480"/>
    </w:pPr>
    <w:rPr>
      <w:sz w:val="24"/>
      <w:szCs w:val="24"/>
    </w:rPr>
  </w:style>
  <w:style w:type="paragraph" w:customStyle="1" w:styleId="fp-2">
    <w:name w:val="fp-2"/>
    <w:basedOn w:val="Normal"/>
    <w:rsid w:val="00A24CEF"/>
    <w:pPr>
      <w:spacing w:before="200" w:after="100"/>
      <w:ind w:left="960" w:hanging="960"/>
    </w:pPr>
    <w:rPr>
      <w:sz w:val="24"/>
      <w:szCs w:val="24"/>
    </w:rPr>
  </w:style>
  <w:style w:type="paragraph" w:customStyle="1" w:styleId="fp1-2">
    <w:name w:val="fp1-2"/>
    <w:basedOn w:val="Normal"/>
    <w:rsid w:val="00A24CEF"/>
    <w:pPr>
      <w:spacing w:before="200" w:after="100"/>
      <w:ind w:left="960" w:hanging="480"/>
    </w:pPr>
    <w:rPr>
      <w:sz w:val="24"/>
      <w:szCs w:val="24"/>
    </w:rPr>
  </w:style>
  <w:style w:type="paragraph" w:customStyle="1" w:styleId="fp2-2">
    <w:name w:val="fp2-2"/>
    <w:basedOn w:val="Normal"/>
    <w:rsid w:val="00A24CEF"/>
    <w:pPr>
      <w:spacing w:before="200" w:after="100"/>
      <w:ind w:left="960"/>
    </w:pPr>
    <w:rPr>
      <w:sz w:val="24"/>
      <w:szCs w:val="24"/>
    </w:rPr>
  </w:style>
  <w:style w:type="paragraph" w:customStyle="1" w:styleId="fp2-3">
    <w:name w:val="fp2-3"/>
    <w:basedOn w:val="Normal"/>
    <w:rsid w:val="00A24CEF"/>
    <w:pPr>
      <w:spacing w:before="200" w:after="100"/>
      <w:ind w:left="1440" w:hanging="480"/>
    </w:pPr>
    <w:rPr>
      <w:sz w:val="24"/>
      <w:szCs w:val="24"/>
    </w:rPr>
  </w:style>
  <w:style w:type="paragraph" w:customStyle="1" w:styleId="contents">
    <w:name w:val="contents"/>
    <w:basedOn w:val="Normal"/>
    <w:rsid w:val="00A24CEF"/>
    <w:pPr>
      <w:spacing w:before="200" w:after="100"/>
    </w:pPr>
    <w:rPr>
      <w:sz w:val="24"/>
      <w:szCs w:val="24"/>
    </w:rPr>
  </w:style>
  <w:style w:type="paragraph" w:customStyle="1" w:styleId="three-col-layout-middle">
    <w:name w:val="three-col-layout-middle"/>
    <w:basedOn w:val="Normal"/>
    <w:rsid w:val="00A24CEF"/>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A24CEF"/>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A24CEF"/>
    <w:pPr>
      <w:spacing w:before="100" w:beforeAutospacing="1" w:after="100" w:afterAutospacing="1"/>
      <w:ind w:firstLine="480"/>
    </w:pPr>
    <w:rPr>
      <w:sz w:val="13"/>
      <w:szCs w:val="13"/>
    </w:rPr>
  </w:style>
  <w:style w:type="paragraph" w:customStyle="1" w:styleId="ftnt">
    <w:name w:val="ftnt"/>
    <w:basedOn w:val="Normal"/>
    <w:rsid w:val="00A24CEF"/>
    <w:pPr>
      <w:spacing w:before="100" w:beforeAutospacing="1" w:after="100" w:afterAutospacing="1"/>
      <w:ind w:firstLine="480"/>
    </w:pPr>
    <w:rPr>
      <w:sz w:val="13"/>
      <w:szCs w:val="13"/>
    </w:rPr>
  </w:style>
  <w:style w:type="paragraph" w:customStyle="1" w:styleId="tpl">
    <w:name w:val="tpl"/>
    <w:basedOn w:val="Normal"/>
    <w:rsid w:val="00A24CEF"/>
    <w:pPr>
      <w:spacing w:before="100" w:beforeAutospacing="1" w:after="100" w:afterAutospacing="1"/>
      <w:ind w:firstLine="480"/>
    </w:pPr>
    <w:rPr>
      <w:sz w:val="14"/>
      <w:szCs w:val="14"/>
    </w:rPr>
  </w:style>
  <w:style w:type="paragraph" w:customStyle="1" w:styleId="sechd">
    <w:name w:val="sechd"/>
    <w:basedOn w:val="Normal"/>
    <w:rsid w:val="00A24CEF"/>
    <w:pPr>
      <w:spacing w:after="100" w:afterAutospacing="1"/>
    </w:pPr>
    <w:rPr>
      <w:sz w:val="24"/>
      <w:szCs w:val="24"/>
    </w:rPr>
  </w:style>
  <w:style w:type="paragraph" w:customStyle="1" w:styleId="centry">
    <w:name w:val="c_entry"/>
    <w:basedOn w:val="Normal"/>
    <w:rsid w:val="00A24CEF"/>
    <w:pPr>
      <w:spacing w:after="100" w:afterAutospacing="1"/>
    </w:pPr>
    <w:rPr>
      <w:sz w:val="24"/>
      <w:szCs w:val="24"/>
    </w:rPr>
  </w:style>
  <w:style w:type="paragraph" w:customStyle="1" w:styleId="gpotblhang">
    <w:name w:val="gpotbl_hang"/>
    <w:basedOn w:val="Normal"/>
    <w:rsid w:val="00A24CEF"/>
    <w:pPr>
      <w:spacing w:before="100" w:beforeAutospacing="1" w:after="100" w:afterAutospacing="1"/>
      <w:ind w:hanging="480"/>
    </w:pPr>
    <w:rPr>
      <w:sz w:val="24"/>
      <w:szCs w:val="24"/>
    </w:rPr>
  </w:style>
  <w:style w:type="paragraph" w:customStyle="1" w:styleId="gpotbltable">
    <w:name w:val="gpotbl_table"/>
    <w:basedOn w:val="Normal"/>
    <w:rsid w:val="00A24CEF"/>
    <w:pPr>
      <w:spacing w:before="100" w:beforeAutospacing="1" w:after="100" w:afterAutospacing="1"/>
      <w:ind w:firstLine="480"/>
    </w:pPr>
    <w:rPr>
      <w:sz w:val="24"/>
      <w:szCs w:val="24"/>
    </w:rPr>
  </w:style>
  <w:style w:type="paragraph" w:customStyle="1" w:styleId="gpotbldiv">
    <w:name w:val="gpotbl_div"/>
    <w:basedOn w:val="Normal"/>
    <w:rsid w:val="00A24CEF"/>
    <w:pPr>
      <w:pBdr>
        <w:top w:val="single" w:sz="8" w:space="0" w:color="000000"/>
        <w:left w:val="single" w:sz="8" w:space="0" w:color="000000"/>
        <w:bottom w:val="single" w:sz="8" w:space="0" w:color="000000"/>
        <w:right w:val="single" w:sz="8" w:space="0" w:color="000000"/>
      </w:pBdr>
      <w:spacing w:before="100" w:beforeAutospacing="1" w:after="100" w:afterAutospacing="1"/>
      <w:ind w:firstLine="480"/>
    </w:pPr>
    <w:rPr>
      <w:sz w:val="24"/>
      <w:szCs w:val="24"/>
    </w:rPr>
  </w:style>
  <w:style w:type="paragraph" w:customStyle="1" w:styleId="gpotbltitle">
    <w:name w:val="gpotbl_title"/>
    <w:basedOn w:val="Normal"/>
    <w:rsid w:val="00A24CEF"/>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A24CEF"/>
    <w:pPr>
      <w:spacing w:before="100" w:beforeAutospacing="1" w:after="100" w:afterAutospacing="1"/>
      <w:ind w:firstLine="480"/>
      <w:jc w:val="center"/>
    </w:pPr>
    <w:rPr>
      <w:sz w:val="24"/>
      <w:szCs w:val="24"/>
    </w:rPr>
  </w:style>
  <w:style w:type="paragraph" w:customStyle="1" w:styleId="gpotblcell">
    <w:name w:val="gpotbl_cell"/>
    <w:basedOn w:val="Normal"/>
    <w:rsid w:val="00A24CEF"/>
    <w:pPr>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A24CEF"/>
    <w:pPr>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A24CEF"/>
    <w:rPr>
      <w:shd w:val="clear" w:color="auto" w:fill="FFFFFF"/>
    </w:rPr>
  </w:style>
  <w:style w:type="character" w:customStyle="1" w:styleId="pdash">
    <w:name w:val="pdash"/>
    <w:basedOn w:val="DefaultParagraphFont"/>
    <w:rsid w:val="00A24CEF"/>
    <w:rPr>
      <w:shd w:val="clear" w:color="auto" w:fill="FFFFFF"/>
    </w:rPr>
  </w:style>
  <w:style w:type="paragraph" w:customStyle="1" w:styleId="gpotblnote">
    <w:name w:val="gpotbl_note"/>
    <w:basedOn w:val="Normal"/>
    <w:rsid w:val="00A24CEF"/>
    <w:pPr>
      <w:spacing w:before="100" w:beforeAutospacing="1" w:after="100" w:afterAutospacing="1"/>
      <w:ind w:firstLine="480"/>
    </w:pPr>
    <w:rPr>
      <w:sz w:val="24"/>
      <w:szCs w:val="24"/>
    </w:rPr>
  </w:style>
  <w:style w:type="paragraph" w:customStyle="1" w:styleId="DefinitionTerm">
    <w:name w:val="Definition Term"/>
    <w:basedOn w:val="Normal"/>
    <w:next w:val="DefinitionList"/>
    <w:uiPriority w:val="99"/>
    <w:rsid w:val="00BB64FF"/>
    <w:pPr>
      <w:autoSpaceDE w:val="0"/>
      <w:autoSpaceDN w:val="0"/>
      <w:adjustRightInd w:val="0"/>
    </w:pPr>
    <w:rPr>
      <w:sz w:val="24"/>
      <w:szCs w:val="24"/>
    </w:rPr>
  </w:style>
  <w:style w:type="paragraph" w:customStyle="1" w:styleId="DefinitionList">
    <w:name w:val="Definition List"/>
    <w:basedOn w:val="Normal"/>
    <w:next w:val="DefinitionTerm"/>
    <w:uiPriority w:val="99"/>
    <w:rsid w:val="00BB64FF"/>
    <w:pPr>
      <w:autoSpaceDE w:val="0"/>
      <w:autoSpaceDN w:val="0"/>
      <w:adjustRightInd w:val="0"/>
      <w:ind w:left="360"/>
    </w:pPr>
    <w:rPr>
      <w:sz w:val="24"/>
      <w:szCs w:val="24"/>
    </w:rPr>
  </w:style>
  <w:style w:type="character" w:customStyle="1" w:styleId="Definition">
    <w:name w:val="Definition"/>
    <w:uiPriority w:val="99"/>
    <w:rsid w:val="00BB64FF"/>
    <w:rPr>
      <w:i/>
      <w:iCs/>
    </w:rPr>
  </w:style>
  <w:style w:type="paragraph" w:customStyle="1" w:styleId="H10">
    <w:name w:val="H1"/>
    <w:basedOn w:val="Normal"/>
    <w:next w:val="Normal"/>
    <w:uiPriority w:val="99"/>
    <w:rsid w:val="00BB64FF"/>
    <w:pPr>
      <w:keepNext/>
      <w:autoSpaceDE w:val="0"/>
      <w:autoSpaceDN w:val="0"/>
      <w:adjustRightInd w:val="0"/>
      <w:spacing w:before="100" w:after="100"/>
      <w:outlineLvl w:val="1"/>
    </w:pPr>
    <w:rPr>
      <w:b/>
      <w:bCs/>
      <w:kern w:val="36"/>
      <w:sz w:val="48"/>
      <w:szCs w:val="48"/>
    </w:rPr>
  </w:style>
  <w:style w:type="paragraph" w:customStyle="1" w:styleId="H20">
    <w:name w:val="H2"/>
    <w:basedOn w:val="Normal"/>
    <w:next w:val="Normal"/>
    <w:uiPriority w:val="99"/>
    <w:rsid w:val="00BB64FF"/>
    <w:pPr>
      <w:keepNext/>
      <w:autoSpaceDE w:val="0"/>
      <w:autoSpaceDN w:val="0"/>
      <w:adjustRightInd w:val="0"/>
      <w:spacing w:before="100" w:after="100"/>
      <w:outlineLvl w:val="2"/>
    </w:pPr>
    <w:rPr>
      <w:b/>
      <w:bCs/>
      <w:sz w:val="36"/>
      <w:szCs w:val="36"/>
    </w:rPr>
  </w:style>
  <w:style w:type="paragraph" w:customStyle="1" w:styleId="H30">
    <w:name w:val="H3"/>
    <w:basedOn w:val="Normal"/>
    <w:next w:val="Normal"/>
    <w:uiPriority w:val="99"/>
    <w:rsid w:val="00BB64FF"/>
    <w:pPr>
      <w:keepNext/>
      <w:autoSpaceDE w:val="0"/>
      <w:autoSpaceDN w:val="0"/>
      <w:adjustRightInd w:val="0"/>
      <w:spacing w:before="100" w:after="100"/>
      <w:outlineLvl w:val="3"/>
    </w:pPr>
    <w:rPr>
      <w:b/>
      <w:bCs/>
      <w:sz w:val="28"/>
      <w:szCs w:val="28"/>
    </w:rPr>
  </w:style>
  <w:style w:type="paragraph" w:customStyle="1" w:styleId="H4">
    <w:name w:val="H4"/>
    <w:basedOn w:val="Normal"/>
    <w:next w:val="Normal"/>
    <w:uiPriority w:val="99"/>
    <w:rsid w:val="00BB64FF"/>
    <w:pPr>
      <w:keepNext/>
      <w:autoSpaceDE w:val="0"/>
      <w:autoSpaceDN w:val="0"/>
      <w:adjustRightInd w:val="0"/>
      <w:spacing w:before="100" w:after="100"/>
      <w:outlineLvl w:val="4"/>
    </w:pPr>
    <w:rPr>
      <w:b/>
      <w:bCs/>
      <w:sz w:val="24"/>
      <w:szCs w:val="24"/>
    </w:rPr>
  </w:style>
  <w:style w:type="paragraph" w:customStyle="1" w:styleId="H5">
    <w:name w:val="H5"/>
    <w:basedOn w:val="Normal"/>
    <w:next w:val="Normal"/>
    <w:uiPriority w:val="99"/>
    <w:rsid w:val="00BB64FF"/>
    <w:pPr>
      <w:keepNext/>
      <w:autoSpaceDE w:val="0"/>
      <w:autoSpaceDN w:val="0"/>
      <w:adjustRightInd w:val="0"/>
      <w:spacing w:before="100" w:after="100"/>
      <w:outlineLvl w:val="5"/>
    </w:pPr>
    <w:rPr>
      <w:b/>
      <w:bCs/>
      <w:sz w:val="20"/>
    </w:rPr>
  </w:style>
  <w:style w:type="paragraph" w:customStyle="1" w:styleId="H6">
    <w:name w:val="H6"/>
    <w:basedOn w:val="Normal"/>
    <w:next w:val="Normal"/>
    <w:uiPriority w:val="99"/>
    <w:rsid w:val="00BB64FF"/>
    <w:pPr>
      <w:keepNext/>
      <w:autoSpaceDE w:val="0"/>
      <w:autoSpaceDN w:val="0"/>
      <w:adjustRightInd w:val="0"/>
      <w:spacing w:before="100" w:after="100"/>
      <w:outlineLvl w:val="6"/>
    </w:pPr>
    <w:rPr>
      <w:b/>
      <w:bCs/>
      <w:sz w:val="16"/>
      <w:szCs w:val="16"/>
    </w:rPr>
  </w:style>
  <w:style w:type="paragraph" w:customStyle="1" w:styleId="Address">
    <w:name w:val="Address"/>
    <w:basedOn w:val="Normal"/>
    <w:next w:val="Normal"/>
    <w:uiPriority w:val="99"/>
    <w:rsid w:val="00BB64FF"/>
    <w:pPr>
      <w:autoSpaceDE w:val="0"/>
      <w:autoSpaceDN w:val="0"/>
      <w:adjustRightInd w:val="0"/>
    </w:pPr>
    <w:rPr>
      <w:i/>
      <w:iCs/>
      <w:sz w:val="24"/>
      <w:szCs w:val="24"/>
    </w:rPr>
  </w:style>
  <w:style w:type="paragraph" w:customStyle="1" w:styleId="Blockquote">
    <w:name w:val="Blockquote"/>
    <w:basedOn w:val="Normal"/>
    <w:uiPriority w:val="99"/>
    <w:rsid w:val="00BB64FF"/>
    <w:pPr>
      <w:autoSpaceDE w:val="0"/>
      <w:autoSpaceDN w:val="0"/>
      <w:adjustRightInd w:val="0"/>
      <w:spacing w:before="100" w:after="100"/>
      <w:ind w:left="360" w:right="360"/>
    </w:pPr>
    <w:rPr>
      <w:sz w:val="24"/>
      <w:szCs w:val="24"/>
    </w:rPr>
  </w:style>
  <w:style w:type="character" w:customStyle="1" w:styleId="CITE">
    <w:name w:val="CITE"/>
    <w:uiPriority w:val="99"/>
    <w:rsid w:val="00BB64FF"/>
    <w:rPr>
      <w:i/>
      <w:iCs/>
    </w:rPr>
  </w:style>
  <w:style w:type="character" w:customStyle="1" w:styleId="CODE">
    <w:name w:val="CODE"/>
    <w:uiPriority w:val="99"/>
    <w:rsid w:val="00BB64FF"/>
    <w:rPr>
      <w:rFonts w:ascii="Courier New" w:hAnsi="Courier New" w:cs="Courier New"/>
      <w:sz w:val="20"/>
      <w:szCs w:val="20"/>
    </w:rPr>
  </w:style>
  <w:style w:type="character" w:styleId="Emphasis">
    <w:name w:val="Emphasis"/>
    <w:basedOn w:val="DefaultParagraphFont"/>
    <w:uiPriority w:val="99"/>
    <w:qFormat/>
    <w:rsid w:val="00BB64FF"/>
    <w:rPr>
      <w:i/>
      <w:iCs/>
    </w:rPr>
  </w:style>
  <w:style w:type="character" w:customStyle="1" w:styleId="Keyboard">
    <w:name w:val="Keyboard"/>
    <w:uiPriority w:val="99"/>
    <w:rsid w:val="00BB64FF"/>
    <w:rPr>
      <w:rFonts w:ascii="Courier New" w:hAnsi="Courier New" w:cs="Courier New"/>
      <w:b/>
      <w:bCs/>
      <w:sz w:val="20"/>
      <w:szCs w:val="20"/>
    </w:rPr>
  </w:style>
  <w:style w:type="paragraph" w:customStyle="1" w:styleId="Preformatted">
    <w:name w:val="Preformatted"/>
    <w:basedOn w:val="Normal"/>
    <w:uiPriority w:val="99"/>
    <w:rsid w:val="00BB64F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cs="Courier New"/>
      <w:sz w:val="20"/>
    </w:rPr>
  </w:style>
  <w:style w:type="paragraph" w:styleId="z-BottomofForm">
    <w:name w:val="HTML Bottom of Form"/>
    <w:basedOn w:val="Normal"/>
    <w:next w:val="Normal"/>
    <w:link w:val="z-BottomofFormChar"/>
    <w:hidden/>
    <w:uiPriority w:val="99"/>
    <w:rsid w:val="00BB64FF"/>
    <w:pPr>
      <w:pBdr>
        <w:top w:val="double" w:sz="2" w:space="0" w:color="000000"/>
      </w:pBdr>
      <w:autoSpaceDE w:val="0"/>
      <w:autoSpaceDN w:val="0"/>
      <w:adjustRightInd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BB64FF"/>
    <w:rPr>
      <w:rFonts w:ascii="Arial" w:hAnsi="Arial" w:cs="Arial"/>
      <w:vanish/>
      <w:sz w:val="16"/>
      <w:szCs w:val="16"/>
    </w:rPr>
  </w:style>
  <w:style w:type="paragraph" w:styleId="z-TopofForm">
    <w:name w:val="HTML Top of Form"/>
    <w:basedOn w:val="Normal"/>
    <w:next w:val="Normal"/>
    <w:link w:val="z-TopofFormChar"/>
    <w:hidden/>
    <w:uiPriority w:val="99"/>
    <w:rsid w:val="00BB64FF"/>
    <w:pPr>
      <w:pBdr>
        <w:bottom w:val="double" w:sz="2" w:space="0" w:color="000000"/>
      </w:pBdr>
      <w:autoSpaceDE w:val="0"/>
      <w:autoSpaceDN w:val="0"/>
      <w:adjustRightInd w:val="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BB64FF"/>
    <w:rPr>
      <w:rFonts w:ascii="Arial" w:hAnsi="Arial" w:cs="Arial"/>
      <w:vanish/>
      <w:sz w:val="16"/>
      <w:szCs w:val="16"/>
    </w:rPr>
  </w:style>
  <w:style w:type="character" w:customStyle="1" w:styleId="Sample">
    <w:name w:val="Sample"/>
    <w:uiPriority w:val="99"/>
    <w:rsid w:val="00BB64FF"/>
    <w:rPr>
      <w:rFonts w:ascii="Courier New" w:hAnsi="Courier New" w:cs="Courier New"/>
    </w:rPr>
  </w:style>
  <w:style w:type="character" w:customStyle="1" w:styleId="Typewriter">
    <w:name w:val="Typewriter"/>
    <w:uiPriority w:val="99"/>
    <w:rsid w:val="00BB64FF"/>
    <w:rPr>
      <w:rFonts w:ascii="Courier New" w:hAnsi="Courier New" w:cs="Courier New"/>
      <w:sz w:val="20"/>
      <w:szCs w:val="20"/>
    </w:rPr>
  </w:style>
  <w:style w:type="character" w:customStyle="1" w:styleId="Variable">
    <w:name w:val="Variable"/>
    <w:uiPriority w:val="99"/>
    <w:rsid w:val="00BB64FF"/>
    <w:rPr>
      <w:i/>
      <w:iCs/>
    </w:rPr>
  </w:style>
  <w:style w:type="character" w:customStyle="1" w:styleId="HTMLMarkup">
    <w:name w:val="HTML Markup"/>
    <w:uiPriority w:val="99"/>
    <w:rsid w:val="00BB64FF"/>
    <w:rPr>
      <w:vanish/>
      <w:color w:val="FF0000"/>
    </w:rPr>
  </w:style>
  <w:style w:type="character" w:customStyle="1" w:styleId="Comment">
    <w:name w:val="Comment"/>
    <w:uiPriority w:val="99"/>
    <w:rsid w:val="00BB64FF"/>
    <w:rPr>
      <w:vanish/>
    </w:rPr>
  </w:style>
</w:styles>
</file>

<file path=word/webSettings.xml><?xml version="1.0" encoding="utf-8"?>
<w:webSettings xmlns:r="http://schemas.openxmlformats.org/officeDocument/2006/relationships" xmlns:w="http://schemas.openxmlformats.org/wordprocessingml/2006/main">
  <w:divs>
    <w:div w:id="233243236">
      <w:bodyDiv w:val="1"/>
      <w:marLeft w:val="0"/>
      <w:marRight w:val="0"/>
      <w:marTop w:val="21"/>
      <w:marBottom w:val="522"/>
      <w:divBdr>
        <w:top w:val="none" w:sz="0" w:space="0" w:color="auto"/>
        <w:left w:val="none" w:sz="0" w:space="0" w:color="auto"/>
        <w:bottom w:val="none" w:sz="0" w:space="0" w:color="auto"/>
        <w:right w:val="none" w:sz="0" w:space="0" w:color="auto"/>
      </w:divBdr>
      <w:divsChild>
        <w:div w:id="723261889">
          <w:marLeft w:val="0"/>
          <w:marRight w:val="0"/>
          <w:marTop w:val="0"/>
          <w:marBottom w:val="0"/>
          <w:divBdr>
            <w:top w:val="none" w:sz="0" w:space="0" w:color="auto"/>
            <w:left w:val="none" w:sz="0" w:space="0" w:color="auto"/>
            <w:bottom w:val="none" w:sz="0" w:space="0" w:color="auto"/>
            <w:right w:val="none" w:sz="0" w:space="0" w:color="auto"/>
          </w:divBdr>
        </w:div>
      </w:divsChild>
    </w:div>
    <w:div w:id="331416135">
      <w:bodyDiv w:val="1"/>
      <w:marLeft w:val="0"/>
      <w:marRight w:val="0"/>
      <w:marTop w:val="21"/>
      <w:marBottom w:val="522"/>
      <w:divBdr>
        <w:top w:val="none" w:sz="0" w:space="0" w:color="auto"/>
        <w:left w:val="none" w:sz="0" w:space="0" w:color="auto"/>
        <w:bottom w:val="none" w:sz="0" w:space="0" w:color="auto"/>
        <w:right w:val="none" w:sz="0" w:space="0" w:color="auto"/>
      </w:divBdr>
      <w:divsChild>
        <w:div w:id="1100562223">
          <w:marLeft w:val="0"/>
          <w:marRight w:val="0"/>
          <w:marTop w:val="0"/>
          <w:marBottom w:val="0"/>
          <w:divBdr>
            <w:top w:val="none" w:sz="0" w:space="0" w:color="auto"/>
            <w:left w:val="none" w:sz="0" w:space="0" w:color="auto"/>
            <w:bottom w:val="none" w:sz="0" w:space="0" w:color="auto"/>
            <w:right w:val="none" w:sz="0" w:space="0" w:color="auto"/>
          </w:divBdr>
          <w:divsChild>
            <w:div w:id="1721976231">
              <w:marLeft w:val="0"/>
              <w:marRight w:val="0"/>
              <w:marTop w:val="0"/>
              <w:marBottom w:val="0"/>
              <w:divBdr>
                <w:top w:val="none" w:sz="0" w:space="0" w:color="auto"/>
                <w:left w:val="none" w:sz="0" w:space="0" w:color="auto"/>
                <w:bottom w:val="none" w:sz="0" w:space="0" w:color="auto"/>
                <w:right w:val="none" w:sz="0" w:space="0" w:color="auto"/>
              </w:divBdr>
            </w:div>
            <w:div w:id="1009674503">
              <w:marLeft w:val="0"/>
              <w:marRight w:val="0"/>
              <w:marTop w:val="0"/>
              <w:marBottom w:val="0"/>
              <w:divBdr>
                <w:top w:val="none" w:sz="0" w:space="0" w:color="auto"/>
                <w:left w:val="none" w:sz="0" w:space="0" w:color="auto"/>
                <w:bottom w:val="none" w:sz="0" w:space="0" w:color="auto"/>
                <w:right w:val="none" w:sz="0" w:space="0" w:color="auto"/>
              </w:divBdr>
            </w:div>
            <w:div w:id="1726105183">
              <w:marLeft w:val="0"/>
              <w:marRight w:val="0"/>
              <w:marTop w:val="0"/>
              <w:marBottom w:val="0"/>
              <w:divBdr>
                <w:top w:val="none" w:sz="0" w:space="0" w:color="auto"/>
                <w:left w:val="none" w:sz="0" w:space="0" w:color="auto"/>
                <w:bottom w:val="none" w:sz="0" w:space="0" w:color="auto"/>
                <w:right w:val="none" w:sz="0" w:space="0" w:color="auto"/>
              </w:divBdr>
            </w:div>
            <w:div w:id="1373067811">
              <w:marLeft w:val="0"/>
              <w:marRight w:val="0"/>
              <w:marTop w:val="0"/>
              <w:marBottom w:val="0"/>
              <w:divBdr>
                <w:top w:val="none" w:sz="0" w:space="0" w:color="auto"/>
                <w:left w:val="none" w:sz="0" w:space="0" w:color="auto"/>
                <w:bottom w:val="none" w:sz="0" w:space="0" w:color="auto"/>
                <w:right w:val="none" w:sz="0" w:space="0" w:color="auto"/>
              </w:divBdr>
            </w:div>
            <w:div w:id="127086742">
              <w:marLeft w:val="0"/>
              <w:marRight w:val="0"/>
              <w:marTop w:val="0"/>
              <w:marBottom w:val="0"/>
              <w:divBdr>
                <w:top w:val="none" w:sz="0" w:space="0" w:color="auto"/>
                <w:left w:val="none" w:sz="0" w:space="0" w:color="auto"/>
                <w:bottom w:val="none" w:sz="0" w:space="0" w:color="auto"/>
                <w:right w:val="none" w:sz="0" w:space="0" w:color="auto"/>
              </w:divBdr>
            </w:div>
            <w:div w:id="1896113288">
              <w:marLeft w:val="0"/>
              <w:marRight w:val="0"/>
              <w:marTop w:val="0"/>
              <w:marBottom w:val="0"/>
              <w:divBdr>
                <w:top w:val="none" w:sz="0" w:space="0" w:color="auto"/>
                <w:left w:val="none" w:sz="0" w:space="0" w:color="auto"/>
                <w:bottom w:val="none" w:sz="0" w:space="0" w:color="auto"/>
                <w:right w:val="none" w:sz="0" w:space="0" w:color="auto"/>
              </w:divBdr>
            </w:div>
            <w:div w:id="1280529466">
              <w:marLeft w:val="0"/>
              <w:marRight w:val="0"/>
              <w:marTop w:val="0"/>
              <w:marBottom w:val="0"/>
              <w:divBdr>
                <w:top w:val="none" w:sz="0" w:space="0" w:color="auto"/>
                <w:left w:val="none" w:sz="0" w:space="0" w:color="auto"/>
                <w:bottom w:val="none" w:sz="0" w:space="0" w:color="auto"/>
                <w:right w:val="none" w:sz="0" w:space="0" w:color="auto"/>
              </w:divBdr>
            </w:div>
            <w:div w:id="1466586486">
              <w:marLeft w:val="0"/>
              <w:marRight w:val="0"/>
              <w:marTop w:val="0"/>
              <w:marBottom w:val="0"/>
              <w:divBdr>
                <w:top w:val="none" w:sz="0" w:space="0" w:color="auto"/>
                <w:left w:val="none" w:sz="0" w:space="0" w:color="auto"/>
                <w:bottom w:val="none" w:sz="0" w:space="0" w:color="auto"/>
                <w:right w:val="none" w:sz="0" w:space="0" w:color="auto"/>
              </w:divBdr>
            </w:div>
            <w:div w:id="520245840">
              <w:marLeft w:val="0"/>
              <w:marRight w:val="0"/>
              <w:marTop w:val="0"/>
              <w:marBottom w:val="0"/>
              <w:divBdr>
                <w:top w:val="none" w:sz="0" w:space="0" w:color="auto"/>
                <w:left w:val="none" w:sz="0" w:space="0" w:color="auto"/>
                <w:bottom w:val="none" w:sz="0" w:space="0" w:color="auto"/>
                <w:right w:val="none" w:sz="0" w:space="0" w:color="auto"/>
              </w:divBdr>
            </w:div>
            <w:div w:id="1899440521">
              <w:marLeft w:val="0"/>
              <w:marRight w:val="0"/>
              <w:marTop w:val="0"/>
              <w:marBottom w:val="0"/>
              <w:divBdr>
                <w:top w:val="none" w:sz="0" w:space="0" w:color="auto"/>
                <w:left w:val="none" w:sz="0" w:space="0" w:color="auto"/>
                <w:bottom w:val="none" w:sz="0" w:space="0" w:color="auto"/>
                <w:right w:val="none" w:sz="0" w:space="0" w:color="auto"/>
              </w:divBdr>
            </w:div>
            <w:div w:id="2039162356">
              <w:marLeft w:val="0"/>
              <w:marRight w:val="0"/>
              <w:marTop w:val="0"/>
              <w:marBottom w:val="0"/>
              <w:divBdr>
                <w:top w:val="none" w:sz="0" w:space="0" w:color="auto"/>
                <w:left w:val="none" w:sz="0" w:space="0" w:color="auto"/>
                <w:bottom w:val="none" w:sz="0" w:space="0" w:color="auto"/>
                <w:right w:val="none" w:sz="0" w:space="0" w:color="auto"/>
              </w:divBdr>
            </w:div>
            <w:div w:id="277445440">
              <w:marLeft w:val="0"/>
              <w:marRight w:val="0"/>
              <w:marTop w:val="0"/>
              <w:marBottom w:val="0"/>
              <w:divBdr>
                <w:top w:val="none" w:sz="0" w:space="0" w:color="auto"/>
                <w:left w:val="none" w:sz="0" w:space="0" w:color="auto"/>
                <w:bottom w:val="none" w:sz="0" w:space="0" w:color="auto"/>
                <w:right w:val="none" w:sz="0" w:space="0" w:color="auto"/>
              </w:divBdr>
            </w:div>
            <w:div w:id="1974096920">
              <w:marLeft w:val="0"/>
              <w:marRight w:val="0"/>
              <w:marTop w:val="0"/>
              <w:marBottom w:val="0"/>
              <w:divBdr>
                <w:top w:val="none" w:sz="0" w:space="0" w:color="auto"/>
                <w:left w:val="none" w:sz="0" w:space="0" w:color="auto"/>
                <w:bottom w:val="none" w:sz="0" w:space="0" w:color="auto"/>
                <w:right w:val="none" w:sz="0" w:space="0" w:color="auto"/>
              </w:divBdr>
            </w:div>
            <w:div w:id="901718072">
              <w:marLeft w:val="0"/>
              <w:marRight w:val="0"/>
              <w:marTop w:val="0"/>
              <w:marBottom w:val="0"/>
              <w:divBdr>
                <w:top w:val="none" w:sz="0" w:space="0" w:color="auto"/>
                <w:left w:val="none" w:sz="0" w:space="0" w:color="auto"/>
                <w:bottom w:val="none" w:sz="0" w:space="0" w:color="auto"/>
                <w:right w:val="none" w:sz="0" w:space="0" w:color="auto"/>
              </w:divBdr>
            </w:div>
            <w:div w:id="381054660">
              <w:marLeft w:val="0"/>
              <w:marRight w:val="0"/>
              <w:marTop w:val="0"/>
              <w:marBottom w:val="0"/>
              <w:divBdr>
                <w:top w:val="none" w:sz="0" w:space="0" w:color="auto"/>
                <w:left w:val="none" w:sz="0" w:space="0" w:color="auto"/>
                <w:bottom w:val="none" w:sz="0" w:space="0" w:color="auto"/>
                <w:right w:val="none" w:sz="0" w:space="0" w:color="auto"/>
              </w:divBdr>
            </w:div>
            <w:div w:id="2075466896">
              <w:marLeft w:val="0"/>
              <w:marRight w:val="0"/>
              <w:marTop w:val="0"/>
              <w:marBottom w:val="0"/>
              <w:divBdr>
                <w:top w:val="none" w:sz="0" w:space="0" w:color="auto"/>
                <w:left w:val="none" w:sz="0" w:space="0" w:color="auto"/>
                <w:bottom w:val="none" w:sz="0" w:space="0" w:color="auto"/>
                <w:right w:val="none" w:sz="0" w:space="0" w:color="auto"/>
              </w:divBdr>
            </w:div>
            <w:div w:id="1507860970">
              <w:marLeft w:val="0"/>
              <w:marRight w:val="0"/>
              <w:marTop w:val="0"/>
              <w:marBottom w:val="0"/>
              <w:divBdr>
                <w:top w:val="none" w:sz="0" w:space="0" w:color="auto"/>
                <w:left w:val="none" w:sz="0" w:space="0" w:color="auto"/>
                <w:bottom w:val="none" w:sz="0" w:space="0" w:color="auto"/>
                <w:right w:val="none" w:sz="0" w:space="0" w:color="auto"/>
              </w:divBdr>
            </w:div>
            <w:div w:id="692338472">
              <w:marLeft w:val="0"/>
              <w:marRight w:val="0"/>
              <w:marTop w:val="0"/>
              <w:marBottom w:val="0"/>
              <w:divBdr>
                <w:top w:val="none" w:sz="0" w:space="0" w:color="auto"/>
                <w:left w:val="none" w:sz="0" w:space="0" w:color="auto"/>
                <w:bottom w:val="none" w:sz="0" w:space="0" w:color="auto"/>
                <w:right w:val="none" w:sz="0" w:space="0" w:color="auto"/>
              </w:divBdr>
            </w:div>
            <w:div w:id="256137161">
              <w:marLeft w:val="0"/>
              <w:marRight w:val="0"/>
              <w:marTop w:val="0"/>
              <w:marBottom w:val="0"/>
              <w:divBdr>
                <w:top w:val="none" w:sz="0" w:space="0" w:color="auto"/>
                <w:left w:val="none" w:sz="0" w:space="0" w:color="auto"/>
                <w:bottom w:val="none" w:sz="0" w:space="0" w:color="auto"/>
                <w:right w:val="none" w:sz="0" w:space="0" w:color="auto"/>
              </w:divBdr>
            </w:div>
            <w:div w:id="1299187962">
              <w:marLeft w:val="0"/>
              <w:marRight w:val="0"/>
              <w:marTop w:val="0"/>
              <w:marBottom w:val="0"/>
              <w:divBdr>
                <w:top w:val="none" w:sz="0" w:space="0" w:color="auto"/>
                <w:left w:val="none" w:sz="0" w:space="0" w:color="auto"/>
                <w:bottom w:val="none" w:sz="0" w:space="0" w:color="auto"/>
                <w:right w:val="none" w:sz="0" w:space="0" w:color="auto"/>
              </w:divBdr>
            </w:div>
            <w:div w:id="1862741392">
              <w:marLeft w:val="0"/>
              <w:marRight w:val="0"/>
              <w:marTop w:val="0"/>
              <w:marBottom w:val="0"/>
              <w:divBdr>
                <w:top w:val="none" w:sz="0" w:space="0" w:color="auto"/>
                <w:left w:val="none" w:sz="0" w:space="0" w:color="auto"/>
                <w:bottom w:val="none" w:sz="0" w:space="0" w:color="auto"/>
                <w:right w:val="none" w:sz="0" w:space="0" w:color="auto"/>
              </w:divBdr>
            </w:div>
            <w:div w:id="96994318">
              <w:marLeft w:val="0"/>
              <w:marRight w:val="0"/>
              <w:marTop w:val="0"/>
              <w:marBottom w:val="0"/>
              <w:divBdr>
                <w:top w:val="none" w:sz="0" w:space="0" w:color="auto"/>
                <w:left w:val="none" w:sz="0" w:space="0" w:color="auto"/>
                <w:bottom w:val="none" w:sz="0" w:space="0" w:color="auto"/>
                <w:right w:val="none" w:sz="0" w:space="0" w:color="auto"/>
              </w:divBdr>
            </w:div>
            <w:div w:id="84811811">
              <w:marLeft w:val="0"/>
              <w:marRight w:val="0"/>
              <w:marTop w:val="0"/>
              <w:marBottom w:val="0"/>
              <w:divBdr>
                <w:top w:val="none" w:sz="0" w:space="0" w:color="auto"/>
                <w:left w:val="none" w:sz="0" w:space="0" w:color="auto"/>
                <w:bottom w:val="none" w:sz="0" w:space="0" w:color="auto"/>
                <w:right w:val="none" w:sz="0" w:space="0" w:color="auto"/>
              </w:divBdr>
            </w:div>
            <w:div w:id="1600137971">
              <w:marLeft w:val="0"/>
              <w:marRight w:val="0"/>
              <w:marTop w:val="0"/>
              <w:marBottom w:val="0"/>
              <w:divBdr>
                <w:top w:val="none" w:sz="0" w:space="0" w:color="auto"/>
                <w:left w:val="none" w:sz="0" w:space="0" w:color="auto"/>
                <w:bottom w:val="none" w:sz="0" w:space="0" w:color="auto"/>
                <w:right w:val="none" w:sz="0" w:space="0" w:color="auto"/>
              </w:divBdr>
            </w:div>
            <w:div w:id="1226573806">
              <w:marLeft w:val="0"/>
              <w:marRight w:val="0"/>
              <w:marTop w:val="0"/>
              <w:marBottom w:val="0"/>
              <w:divBdr>
                <w:top w:val="none" w:sz="0" w:space="0" w:color="auto"/>
                <w:left w:val="none" w:sz="0" w:space="0" w:color="auto"/>
                <w:bottom w:val="none" w:sz="0" w:space="0" w:color="auto"/>
                <w:right w:val="none" w:sz="0" w:space="0" w:color="auto"/>
              </w:divBdr>
            </w:div>
            <w:div w:id="959917499">
              <w:marLeft w:val="0"/>
              <w:marRight w:val="0"/>
              <w:marTop w:val="0"/>
              <w:marBottom w:val="0"/>
              <w:divBdr>
                <w:top w:val="none" w:sz="0" w:space="0" w:color="auto"/>
                <w:left w:val="none" w:sz="0" w:space="0" w:color="auto"/>
                <w:bottom w:val="none" w:sz="0" w:space="0" w:color="auto"/>
                <w:right w:val="none" w:sz="0" w:space="0" w:color="auto"/>
              </w:divBdr>
            </w:div>
            <w:div w:id="2061130560">
              <w:marLeft w:val="0"/>
              <w:marRight w:val="0"/>
              <w:marTop w:val="0"/>
              <w:marBottom w:val="0"/>
              <w:divBdr>
                <w:top w:val="none" w:sz="0" w:space="0" w:color="auto"/>
                <w:left w:val="none" w:sz="0" w:space="0" w:color="auto"/>
                <w:bottom w:val="none" w:sz="0" w:space="0" w:color="auto"/>
                <w:right w:val="none" w:sz="0" w:space="0" w:color="auto"/>
              </w:divBdr>
            </w:div>
            <w:div w:id="1209680574">
              <w:marLeft w:val="0"/>
              <w:marRight w:val="0"/>
              <w:marTop w:val="0"/>
              <w:marBottom w:val="0"/>
              <w:divBdr>
                <w:top w:val="none" w:sz="0" w:space="0" w:color="auto"/>
                <w:left w:val="none" w:sz="0" w:space="0" w:color="auto"/>
                <w:bottom w:val="none" w:sz="0" w:space="0" w:color="auto"/>
                <w:right w:val="none" w:sz="0" w:space="0" w:color="auto"/>
              </w:divBdr>
            </w:div>
            <w:div w:id="219486498">
              <w:marLeft w:val="0"/>
              <w:marRight w:val="0"/>
              <w:marTop w:val="0"/>
              <w:marBottom w:val="0"/>
              <w:divBdr>
                <w:top w:val="none" w:sz="0" w:space="0" w:color="auto"/>
                <w:left w:val="none" w:sz="0" w:space="0" w:color="auto"/>
                <w:bottom w:val="none" w:sz="0" w:space="0" w:color="auto"/>
                <w:right w:val="none" w:sz="0" w:space="0" w:color="auto"/>
              </w:divBdr>
            </w:div>
            <w:div w:id="1118526653">
              <w:marLeft w:val="0"/>
              <w:marRight w:val="0"/>
              <w:marTop w:val="0"/>
              <w:marBottom w:val="0"/>
              <w:divBdr>
                <w:top w:val="none" w:sz="0" w:space="0" w:color="auto"/>
                <w:left w:val="none" w:sz="0" w:space="0" w:color="auto"/>
                <w:bottom w:val="none" w:sz="0" w:space="0" w:color="auto"/>
                <w:right w:val="none" w:sz="0" w:space="0" w:color="auto"/>
              </w:divBdr>
            </w:div>
            <w:div w:id="1887182266">
              <w:marLeft w:val="0"/>
              <w:marRight w:val="0"/>
              <w:marTop w:val="0"/>
              <w:marBottom w:val="0"/>
              <w:divBdr>
                <w:top w:val="none" w:sz="0" w:space="0" w:color="auto"/>
                <w:left w:val="none" w:sz="0" w:space="0" w:color="auto"/>
                <w:bottom w:val="none" w:sz="0" w:space="0" w:color="auto"/>
                <w:right w:val="none" w:sz="0" w:space="0" w:color="auto"/>
              </w:divBdr>
            </w:div>
            <w:div w:id="84813690">
              <w:marLeft w:val="0"/>
              <w:marRight w:val="0"/>
              <w:marTop w:val="0"/>
              <w:marBottom w:val="0"/>
              <w:divBdr>
                <w:top w:val="none" w:sz="0" w:space="0" w:color="auto"/>
                <w:left w:val="none" w:sz="0" w:space="0" w:color="auto"/>
                <w:bottom w:val="none" w:sz="0" w:space="0" w:color="auto"/>
                <w:right w:val="none" w:sz="0" w:space="0" w:color="auto"/>
              </w:divBdr>
            </w:div>
            <w:div w:id="323239421">
              <w:marLeft w:val="0"/>
              <w:marRight w:val="0"/>
              <w:marTop w:val="0"/>
              <w:marBottom w:val="0"/>
              <w:divBdr>
                <w:top w:val="none" w:sz="0" w:space="0" w:color="auto"/>
                <w:left w:val="none" w:sz="0" w:space="0" w:color="auto"/>
                <w:bottom w:val="none" w:sz="0" w:space="0" w:color="auto"/>
                <w:right w:val="none" w:sz="0" w:space="0" w:color="auto"/>
              </w:divBdr>
            </w:div>
            <w:div w:id="568542593">
              <w:marLeft w:val="0"/>
              <w:marRight w:val="0"/>
              <w:marTop w:val="0"/>
              <w:marBottom w:val="0"/>
              <w:divBdr>
                <w:top w:val="none" w:sz="0" w:space="0" w:color="auto"/>
                <w:left w:val="none" w:sz="0" w:space="0" w:color="auto"/>
                <w:bottom w:val="none" w:sz="0" w:space="0" w:color="auto"/>
                <w:right w:val="none" w:sz="0" w:space="0" w:color="auto"/>
              </w:divBdr>
            </w:div>
            <w:div w:id="2047100652">
              <w:marLeft w:val="0"/>
              <w:marRight w:val="0"/>
              <w:marTop w:val="0"/>
              <w:marBottom w:val="0"/>
              <w:divBdr>
                <w:top w:val="none" w:sz="0" w:space="0" w:color="auto"/>
                <w:left w:val="none" w:sz="0" w:space="0" w:color="auto"/>
                <w:bottom w:val="none" w:sz="0" w:space="0" w:color="auto"/>
                <w:right w:val="none" w:sz="0" w:space="0" w:color="auto"/>
              </w:divBdr>
            </w:div>
            <w:div w:id="1449203093">
              <w:marLeft w:val="0"/>
              <w:marRight w:val="0"/>
              <w:marTop w:val="0"/>
              <w:marBottom w:val="0"/>
              <w:divBdr>
                <w:top w:val="none" w:sz="0" w:space="0" w:color="auto"/>
                <w:left w:val="none" w:sz="0" w:space="0" w:color="auto"/>
                <w:bottom w:val="none" w:sz="0" w:space="0" w:color="auto"/>
                <w:right w:val="none" w:sz="0" w:space="0" w:color="auto"/>
              </w:divBdr>
            </w:div>
            <w:div w:id="262110559">
              <w:marLeft w:val="0"/>
              <w:marRight w:val="0"/>
              <w:marTop w:val="0"/>
              <w:marBottom w:val="0"/>
              <w:divBdr>
                <w:top w:val="none" w:sz="0" w:space="0" w:color="auto"/>
                <w:left w:val="none" w:sz="0" w:space="0" w:color="auto"/>
                <w:bottom w:val="none" w:sz="0" w:space="0" w:color="auto"/>
                <w:right w:val="none" w:sz="0" w:space="0" w:color="auto"/>
              </w:divBdr>
            </w:div>
            <w:div w:id="1366516661">
              <w:marLeft w:val="0"/>
              <w:marRight w:val="0"/>
              <w:marTop w:val="0"/>
              <w:marBottom w:val="0"/>
              <w:divBdr>
                <w:top w:val="none" w:sz="0" w:space="0" w:color="auto"/>
                <w:left w:val="none" w:sz="0" w:space="0" w:color="auto"/>
                <w:bottom w:val="none" w:sz="0" w:space="0" w:color="auto"/>
                <w:right w:val="none" w:sz="0" w:space="0" w:color="auto"/>
              </w:divBdr>
            </w:div>
            <w:div w:id="1286736946">
              <w:marLeft w:val="0"/>
              <w:marRight w:val="0"/>
              <w:marTop w:val="0"/>
              <w:marBottom w:val="0"/>
              <w:divBdr>
                <w:top w:val="none" w:sz="0" w:space="0" w:color="auto"/>
                <w:left w:val="none" w:sz="0" w:space="0" w:color="auto"/>
                <w:bottom w:val="none" w:sz="0" w:space="0" w:color="auto"/>
                <w:right w:val="none" w:sz="0" w:space="0" w:color="auto"/>
              </w:divBdr>
            </w:div>
            <w:div w:id="1429078019">
              <w:marLeft w:val="0"/>
              <w:marRight w:val="0"/>
              <w:marTop w:val="0"/>
              <w:marBottom w:val="0"/>
              <w:divBdr>
                <w:top w:val="none" w:sz="0" w:space="0" w:color="auto"/>
                <w:left w:val="none" w:sz="0" w:space="0" w:color="auto"/>
                <w:bottom w:val="none" w:sz="0" w:space="0" w:color="auto"/>
                <w:right w:val="none" w:sz="0" w:space="0" w:color="auto"/>
              </w:divBdr>
            </w:div>
            <w:div w:id="217594909">
              <w:marLeft w:val="0"/>
              <w:marRight w:val="0"/>
              <w:marTop w:val="0"/>
              <w:marBottom w:val="0"/>
              <w:divBdr>
                <w:top w:val="none" w:sz="0" w:space="0" w:color="auto"/>
                <w:left w:val="none" w:sz="0" w:space="0" w:color="auto"/>
                <w:bottom w:val="none" w:sz="0" w:space="0" w:color="auto"/>
                <w:right w:val="none" w:sz="0" w:space="0" w:color="auto"/>
              </w:divBdr>
            </w:div>
            <w:div w:id="952974542">
              <w:marLeft w:val="0"/>
              <w:marRight w:val="0"/>
              <w:marTop w:val="0"/>
              <w:marBottom w:val="0"/>
              <w:divBdr>
                <w:top w:val="none" w:sz="0" w:space="0" w:color="auto"/>
                <w:left w:val="none" w:sz="0" w:space="0" w:color="auto"/>
                <w:bottom w:val="none" w:sz="0" w:space="0" w:color="auto"/>
                <w:right w:val="none" w:sz="0" w:space="0" w:color="auto"/>
              </w:divBdr>
            </w:div>
            <w:div w:id="1211766970">
              <w:marLeft w:val="0"/>
              <w:marRight w:val="0"/>
              <w:marTop w:val="0"/>
              <w:marBottom w:val="0"/>
              <w:divBdr>
                <w:top w:val="none" w:sz="0" w:space="0" w:color="auto"/>
                <w:left w:val="none" w:sz="0" w:space="0" w:color="auto"/>
                <w:bottom w:val="none" w:sz="0" w:space="0" w:color="auto"/>
                <w:right w:val="none" w:sz="0" w:space="0" w:color="auto"/>
              </w:divBdr>
            </w:div>
            <w:div w:id="829760727">
              <w:marLeft w:val="0"/>
              <w:marRight w:val="0"/>
              <w:marTop w:val="0"/>
              <w:marBottom w:val="0"/>
              <w:divBdr>
                <w:top w:val="none" w:sz="0" w:space="0" w:color="auto"/>
                <w:left w:val="none" w:sz="0" w:space="0" w:color="auto"/>
                <w:bottom w:val="none" w:sz="0" w:space="0" w:color="auto"/>
                <w:right w:val="none" w:sz="0" w:space="0" w:color="auto"/>
              </w:divBdr>
            </w:div>
            <w:div w:id="1879973442">
              <w:marLeft w:val="0"/>
              <w:marRight w:val="0"/>
              <w:marTop w:val="0"/>
              <w:marBottom w:val="0"/>
              <w:divBdr>
                <w:top w:val="none" w:sz="0" w:space="0" w:color="auto"/>
                <w:left w:val="none" w:sz="0" w:space="0" w:color="auto"/>
                <w:bottom w:val="none" w:sz="0" w:space="0" w:color="auto"/>
                <w:right w:val="none" w:sz="0" w:space="0" w:color="auto"/>
              </w:divBdr>
            </w:div>
            <w:div w:id="1408990658">
              <w:marLeft w:val="0"/>
              <w:marRight w:val="0"/>
              <w:marTop w:val="0"/>
              <w:marBottom w:val="0"/>
              <w:divBdr>
                <w:top w:val="none" w:sz="0" w:space="0" w:color="auto"/>
                <w:left w:val="none" w:sz="0" w:space="0" w:color="auto"/>
                <w:bottom w:val="none" w:sz="0" w:space="0" w:color="auto"/>
                <w:right w:val="none" w:sz="0" w:space="0" w:color="auto"/>
              </w:divBdr>
            </w:div>
            <w:div w:id="688869833">
              <w:marLeft w:val="0"/>
              <w:marRight w:val="0"/>
              <w:marTop w:val="0"/>
              <w:marBottom w:val="0"/>
              <w:divBdr>
                <w:top w:val="none" w:sz="0" w:space="0" w:color="auto"/>
                <w:left w:val="none" w:sz="0" w:space="0" w:color="auto"/>
                <w:bottom w:val="none" w:sz="0" w:space="0" w:color="auto"/>
                <w:right w:val="none" w:sz="0" w:space="0" w:color="auto"/>
              </w:divBdr>
            </w:div>
            <w:div w:id="924919053">
              <w:marLeft w:val="0"/>
              <w:marRight w:val="0"/>
              <w:marTop w:val="0"/>
              <w:marBottom w:val="0"/>
              <w:divBdr>
                <w:top w:val="none" w:sz="0" w:space="0" w:color="auto"/>
                <w:left w:val="none" w:sz="0" w:space="0" w:color="auto"/>
                <w:bottom w:val="none" w:sz="0" w:space="0" w:color="auto"/>
                <w:right w:val="none" w:sz="0" w:space="0" w:color="auto"/>
              </w:divBdr>
            </w:div>
            <w:div w:id="1879660165">
              <w:marLeft w:val="0"/>
              <w:marRight w:val="0"/>
              <w:marTop w:val="0"/>
              <w:marBottom w:val="0"/>
              <w:divBdr>
                <w:top w:val="none" w:sz="0" w:space="0" w:color="auto"/>
                <w:left w:val="none" w:sz="0" w:space="0" w:color="auto"/>
                <w:bottom w:val="none" w:sz="0" w:space="0" w:color="auto"/>
                <w:right w:val="none" w:sz="0" w:space="0" w:color="auto"/>
              </w:divBdr>
            </w:div>
            <w:div w:id="1300038187">
              <w:marLeft w:val="0"/>
              <w:marRight w:val="0"/>
              <w:marTop w:val="0"/>
              <w:marBottom w:val="0"/>
              <w:divBdr>
                <w:top w:val="none" w:sz="0" w:space="0" w:color="auto"/>
                <w:left w:val="none" w:sz="0" w:space="0" w:color="auto"/>
                <w:bottom w:val="none" w:sz="0" w:space="0" w:color="auto"/>
                <w:right w:val="none" w:sz="0" w:space="0" w:color="auto"/>
              </w:divBdr>
            </w:div>
            <w:div w:id="1151411857">
              <w:marLeft w:val="0"/>
              <w:marRight w:val="0"/>
              <w:marTop w:val="0"/>
              <w:marBottom w:val="0"/>
              <w:divBdr>
                <w:top w:val="none" w:sz="0" w:space="0" w:color="auto"/>
                <w:left w:val="none" w:sz="0" w:space="0" w:color="auto"/>
                <w:bottom w:val="none" w:sz="0" w:space="0" w:color="auto"/>
                <w:right w:val="none" w:sz="0" w:space="0" w:color="auto"/>
              </w:divBdr>
            </w:div>
            <w:div w:id="491720375">
              <w:marLeft w:val="0"/>
              <w:marRight w:val="0"/>
              <w:marTop w:val="0"/>
              <w:marBottom w:val="0"/>
              <w:divBdr>
                <w:top w:val="none" w:sz="0" w:space="0" w:color="auto"/>
                <w:left w:val="none" w:sz="0" w:space="0" w:color="auto"/>
                <w:bottom w:val="none" w:sz="0" w:space="0" w:color="auto"/>
                <w:right w:val="none" w:sz="0" w:space="0" w:color="auto"/>
              </w:divBdr>
            </w:div>
            <w:div w:id="431051291">
              <w:marLeft w:val="0"/>
              <w:marRight w:val="0"/>
              <w:marTop w:val="0"/>
              <w:marBottom w:val="0"/>
              <w:divBdr>
                <w:top w:val="none" w:sz="0" w:space="0" w:color="auto"/>
                <w:left w:val="none" w:sz="0" w:space="0" w:color="auto"/>
                <w:bottom w:val="none" w:sz="0" w:space="0" w:color="auto"/>
                <w:right w:val="none" w:sz="0" w:space="0" w:color="auto"/>
              </w:divBdr>
            </w:div>
            <w:div w:id="1985159087">
              <w:marLeft w:val="0"/>
              <w:marRight w:val="0"/>
              <w:marTop w:val="0"/>
              <w:marBottom w:val="0"/>
              <w:divBdr>
                <w:top w:val="none" w:sz="0" w:space="0" w:color="auto"/>
                <w:left w:val="none" w:sz="0" w:space="0" w:color="auto"/>
                <w:bottom w:val="none" w:sz="0" w:space="0" w:color="auto"/>
                <w:right w:val="none" w:sz="0" w:space="0" w:color="auto"/>
              </w:divBdr>
            </w:div>
            <w:div w:id="2137942468">
              <w:marLeft w:val="0"/>
              <w:marRight w:val="0"/>
              <w:marTop w:val="0"/>
              <w:marBottom w:val="0"/>
              <w:divBdr>
                <w:top w:val="none" w:sz="0" w:space="0" w:color="auto"/>
                <w:left w:val="none" w:sz="0" w:space="0" w:color="auto"/>
                <w:bottom w:val="none" w:sz="0" w:space="0" w:color="auto"/>
                <w:right w:val="none" w:sz="0" w:space="0" w:color="auto"/>
              </w:divBdr>
            </w:div>
            <w:div w:id="1025866168">
              <w:marLeft w:val="0"/>
              <w:marRight w:val="0"/>
              <w:marTop w:val="0"/>
              <w:marBottom w:val="0"/>
              <w:divBdr>
                <w:top w:val="none" w:sz="0" w:space="0" w:color="auto"/>
                <w:left w:val="none" w:sz="0" w:space="0" w:color="auto"/>
                <w:bottom w:val="none" w:sz="0" w:space="0" w:color="auto"/>
                <w:right w:val="none" w:sz="0" w:space="0" w:color="auto"/>
              </w:divBdr>
            </w:div>
            <w:div w:id="840849613">
              <w:marLeft w:val="0"/>
              <w:marRight w:val="0"/>
              <w:marTop w:val="0"/>
              <w:marBottom w:val="0"/>
              <w:divBdr>
                <w:top w:val="none" w:sz="0" w:space="0" w:color="auto"/>
                <w:left w:val="none" w:sz="0" w:space="0" w:color="auto"/>
                <w:bottom w:val="none" w:sz="0" w:space="0" w:color="auto"/>
                <w:right w:val="none" w:sz="0" w:space="0" w:color="auto"/>
              </w:divBdr>
            </w:div>
            <w:div w:id="1409423019">
              <w:marLeft w:val="0"/>
              <w:marRight w:val="0"/>
              <w:marTop w:val="0"/>
              <w:marBottom w:val="0"/>
              <w:divBdr>
                <w:top w:val="none" w:sz="0" w:space="0" w:color="auto"/>
                <w:left w:val="none" w:sz="0" w:space="0" w:color="auto"/>
                <w:bottom w:val="none" w:sz="0" w:space="0" w:color="auto"/>
                <w:right w:val="none" w:sz="0" w:space="0" w:color="auto"/>
              </w:divBdr>
            </w:div>
            <w:div w:id="763765735">
              <w:marLeft w:val="0"/>
              <w:marRight w:val="0"/>
              <w:marTop w:val="0"/>
              <w:marBottom w:val="0"/>
              <w:divBdr>
                <w:top w:val="none" w:sz="0" w:space="0" w:color="auto"/>
                <w:left w:val="none" w:sz="0" w:space="0" w:color="auto"/>
                <w:bottom w:val="none" w:sz="0" w:space="0" w:color="auto"/>
                <w:right w:val="none" w:sz="0" w:space="0" w:color="auto"/>
              </w:divBdr>
            </w:div>
            <w:div w:id="1835608061">
              <w:marLeft w:val="0"/>
              <w:marRight w:val="0"/>
              <w:marTop w:val="0"/>
              <w:marBottom w:val="0"/>
              <w:divBdr>
                <w:top w:val="none" w:sz="0" w:space="0" w:color="auto"/>
                <w:left w:val="none" w:sz="0" w:space="0" w:color="auto"/>
                <w:bottom w:val="none" w:sz="0" w:space="0" w:color="auto"/>
                <w:right w:val="none" w:sz="0" w:space="0" w:color="auto"/>
              </w:divBdr>
            </w:div>
            <w:div w:id="807626024">
              <w:marLeft w:val="0"/>
              <w:marRight w:val="0"/>
              <w:marTop w:val="0"/>
              <w:marBottom w:val="0"/>
              <w:divBdr>
                <w:top w:val="none" w:sz="0" w:space="0" w:color="auto"/>
                <w:left w:val="none" w:sz="0" w:space="0" w:color="auto"/>
                <w:bottom w:val="none" w:sz="0" w:space="0" w:color="auto"/>
                <w:right w:val="none" w:sz="0" w:space="0" w:color="auto"/>
              </w:divBdr>
            </w:div>
            <w:div w:id="1708603203">
              <w:marLeft w:val="0"/>
              <w:marRight w:val="0"/>
              <w:marTop w:val="0"/>
              <w:marBottom w:val="0"/>
              <w:divBdr>
                <w:top w:val="none" w:sz="0" w:space="0" w:color="auto"/>
                <w:left w:val="none" w:sz="0" w:space="0" w:color="auto"/>
                <w:bottom w:val="none" w:sz="0" w:space="0" w:color="auto"/>
                <w:right w:val="none" w:sz="0" w:space="0" w:color="auto"/>
              </w:divBdr>
            </w:div>
            <w:div w:id="587348124">
              <w:marLeft w:val="0"/>
              <w:marRight w:val="0"/>
              <w:marTop w:val="0"/>
              <w:marBottom w:val="0"/>
              <w:divBdr>
                <w:top w:val="none" w:sz="0" w:space="0" w:color="auto"/>
                <w:left w:val="none" w:sz="0" w:space="0" w:color="auto"/>
                <w:bottom w:val="none" w:sz="0" w:space="0" w:color="auto"/>
                <w:right w:val="none" w:sz="0" w:space="0" w:color="auto"/>
              </w:divBdr>
            </w:div>
            <w:div w:id="1104610482">
              <w:marLeft w:val="0"/>
              <w:marRight w:val="0"/>
              <w:marTop w:val="0"/>
              <w:marBottom w:val="0"/>
              <w:divBdr>
                <w:top w:val="none" w:sz="0" w:space="0" w:color="auto"/>
                <w:left w:val="none" w:sz="0" w:space="0" w:color="auto"/>
                <w:bottom w:val="none" w:sz="0" w:space="0" w:color="auto"/>
                <w:right w:val="none" w:sz="0" w:space="0" w:color="auto"/>
              </w:divBdr>
            </w:div>
            <w:div w:id="514536330">
              <w:marLeft w:val="0"/>
              <w:marRight w:val="0"/>
              <w:marTop w:val="0"/>
              <w:marBottom w:val="0"/>
              <w:divBdr>
                <w:top w:val="none" w:sz="0" w:space="0" w:color="auto"/>
                <w:left w:val="none" w:sz="0" w:space="0" w:color="auto"/>
                <w:bottom w:val="none" w:sz="0" w:space="0" w:color="auto"/>
                <w:right w:val="none" w:sz="0" w:space="0" w:color="auto"/>
              </w:divBdr>
              <w:divsChild>
                <w:div w:id="709230701">
                  <w:marLeft w:val="0"/>
                  <w:marRight w:val="0"/>
                  <w:marTop w:val="0"/>
                  <w:marBottom w:val="0"/>
                  <w:divBdr>
                    <w:top w:val="none" w:sz="0" w:space="0" w:color="auto"/>
                    <w:left w:val="none" w:sz="0" w:space="0" w:color="auto"/>
                    <w:bottom w:val="none" w:sz="0" w:space="0" w:color="auto"/>
                    <w:right w:val="none" w:sz="0" w:space="0" w:color="auto"/>
                  </w:divBdr>
                </w:div>
                <w:div w:id="1551914298">
                  <w:marLeft w:val="0"/>
                  <w:marRight w:val="0"/>
                  <w:marTop w:val="0"/>
                  <w:marBottom w:val="0"/>
                  <w:divBdr>
                    <w:top w:val="single" w:sz="8" w:space="0" w:color="000000"/>
                    <w:left w:val="single" w:sz="8" w:space="0" w:color="000000"/>
                    <w:bottom w:val="single" w:sz="8" w:space="0" w:color="000000"/>
                    <w:right w:val="single" w:sz="8" w:space="0" w:color="000000"/>
                  </w:divBdr>
                </w:div>
                <w:div w:id="1156992400">
                  <w:marLeft w:val="0"/>
                  <w:marRight w:val="0"/>
                  <w:marTop w:val="0"/>
                  <w:marBottom w:val="0"/>
                  <w:divBdr>
                    <w:top w:val="none" w:sz="0" w:space="0" w:color="auto"/>
                    <w:left w:val="none" w:sz="0" w:space="0" w:color="auto"/>
                    <w:bottom w:val="none" w:sz="0" w:space="0" w:color="auto"/>
                    <w:right w:val="none" w:sz="0" w:space="0" w:color="auto"/>
                  </w:divBdr>
                </w:div>
              </w:divsChild>
            </w:div>
            <w:div w:id="1237016681">
              <w:marLeft w:val="0"/>
              <w:marRight w:val="0"/>
              <w:marTop w:val="0"/>
              <w:marBottom w:val="0"/>
              <w:divBdr>
                <w:top w:val="none" w:sz="0" w:space="0" w:color="auto"/>
                <w:left w:val="none" w:sz="0" w:space="0" w:color="auto"/>
                <w:bottom w:val="none" w:sz="0" w:space="0" w:color="auto"/>
                <w:right w:val="none" w:sz="0" w:space="0" w:color="auto"/>
              </w:divBdr>
            </w:div>
            <w:div w:id="555043702">
              <w:marLeft w:val="0"/>
              <w:marRight w:val="0"/>
              <w:marTop w:val="0"/>
              <w:marBottom w:val="0"/>
              <w:divBdr>
                <w:top w:val="none" w:sz="0" w:space="0" w:color="auto"/>
                <w:left w:val="none" w:sz="0" w:space="0" w:color="auto"/>
                <w:bottom w:val="none" w:sz="0" w:space="0" w:color="auto"/>
                <w:right w:val="none" w:sz="0" w:space="0" w:color="auto"/>
              </w:divBdr>
              <w:divsChild>
                <w:div w:id="1056969508">
                  <w:marLeft w:val="0"/>
                  <w:marRight w:val="0"/>
                  <w:marTop w:val="0"/>
                  <w:marBottom w:val="0"/>
                  <w:divBdr>
                    <w:top w:val="none" w:sz="0" w:space="0" w:color="auto"/>
                    <w:left w:val="none" w:sz="0" w:space="0" w:color="auto"/>
                    <w:bottom w:val="none" w:sz="0" w:space="0" w:color="auto"/>
                    <w:right w:val="none" w:sz="0" w:space="0" w:color="auto"/>
                  </w:divBdr>
                </w:div>
                <w:div w:id="1569534258">
                  <w:marLeft w:val="0"/>
                  <w:marRight w:val="0"/>
                  <w:marTop w:val="0"/>
                  <w:marBottom w:val="0"/>
                  <w:divBdr>
                    <w:top w:val="single" w:sz="8" w:space="0" w:color="000000"/>
                    <w:left w:val="single" w:sz="8" w:space="0" w:color="000000"/>
                    <w:bottom w:val="single" w:sz="8" w:space="0" w:color="000000"/>
                    <w:right w:val="single" w:sz="8" w:space="0" w:color="000000"/>
                  </w:divBdr>
                </w:div>
                <w:div w:id="1812794686">
                  <w:marLeft w:val="0"/>
                  <w:marRight w:val="0"/>
                  <w:marTop w:val="0"/>
                  <w:marBottom w:val="0"/>
                  <w:divBdr>
                    <w:top w:val="none" w:sz="0" w:space="0" w:color="auto"/>
                    <w:left w:val="none" w:sz="0" w:space="0" w:color="auto"/>
                    <w:bottom w:val="none" w:sz="0" w:space="0" w:color="auto"/>
                    <w:right w:val="none" w:sz="0" w:space="0" w:color="auto"/>
                  </w:divBdr>
                </w:div>
              </w:divsChild>
            </w:div>
            <w:div w:id="2074306593">
              <w:marLeft w:val="0"/>
              <w:marRight w:val="0"/>
              <w:marTop w:val="0"/>
              <w:marBottom w:val="0"/>
              <w:divBdr>
                <w:top w:val="none" w:sz="0" w:space="0" w:color="auto"/>
                <w:left w:val="none" w:sz="0" w:space="0" w:color="auto"/>
                <w:bottom w:val="none" w:sz="0" w:space="0" w:color="auto"/>
                <w:right w:val="none" w:sz="0" w:space="0" w:color="auto"/>
              </w:divBdr>
            </w:div>
            <w:div w:id="72899887">
              <w:marLeft w:val="0"/>
              <w:marRight w:val="0"/>
              <w:marTop w:val="0"/>
              <w:marBottom w:val="0"/>
              <w:divBdr>
                <w:top w:val="none" w:sz="0" w:space="0" w:color="auto"/>
                <w:left w:val="none" w:sz="0" w:space="0" w:color="auto"/>
                <w:bottom w:val="none" w:sz="0" w:space="0" w:color="auto"/>
                <w:right w:val="none" w:sz="0" w:space="0" w:color="auto"/>
              </w:divBdr>
              <w:divsChild>
                <w:div w:id="161876048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9786734">
              <w:marLeft w:val="0"/>
              <w:marRight w:val="0"/>
              <w:marTop w:val="0"/>
              <w:marBottom w:val="0"/>
              <w:divBdr>
                <w:top w:val="none" w:sz="0" w:space="0" w:color="auto"/>
                <w:left w:val="none" w:sz="0" w:space="0" w:color="auto"/>
                <w:bottom w:val="none" w:sz="0" w:space="0" w:color="auto"/>
                <w:right w:val="none" w:sz="0" w:space="0" w:color="auto"/>
              </w:divBdr>
            </w:div>
            <w:div w:id="1353536709">
              <w:marLeft w:val="0"/>
              <w:marRight w:val="0"/>
              <w:marTop w:val="0"/>
              <w:marBottom w:val="0"/>
              <w:divBdr>
                <w:top w:val="none" w:sz="0" w:space="0" w:color="auto"/>
                <w:left w:val="none" w:sz="0" w:space="0" w:color="auto"/>
                <w:bottom w:val="none" w:sz="0" w:space="0" w:color="auto"/>
                <w:right w:val="none" w:sz="0" w:space="0" w:color="auto"/>
              </w:divBdr>
              <w:divsChild>
                <w:div w:id="136933074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51407984">
              <w:marLeft w:val="0"/>
              <w:marRight w:val="0"/>
              <w:marTop w:val="0"/>
              <w:marBottom w:val="0"/>
              <w:divBdr>
                <w:top w:val="none" w:sz="0" w:space="0" w:color="auto"/>
                <w:left w:val="none" w:sz="0" w:space="0" w:color="auto"/>
                <w:bottom w:val="none" w:sz="0" w:space="0" w:color="auto"/>
                <w:right w:val="none" w:sz="0" w:space="0" w:color="auto"/>
              </w:divBdr>
            </w:div>
            <w:div w:id="151868969">
              <w:marLeft w:val="0"/>
              <w:marRight w:val="0"/>
              <w:marTop w:val="0"/>
              <w:marBottom w:val="0"/>
              <w:divBdr>
                <w:top w:val="none" w:sz="0" w:space="0" w:color="auto"/>
                <w:left w:val="none" w:sz="0" w:space="0" w:color="auto"/>
                <w:bottom w:val="none" w:sz="0" w:space="0" w:color="auto"/>
                <w:right w:val="none" w:sz="0" w:space="0" w:color="auto"/>
              </w:divBdr>
              <w:divsChild>
                <w:div w:id="59182095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90674434">
              <w:marLeft w:val="0"/>
              <w:marRight w:val="0"/>
              <w:marTop w:val="0"/>
              <w:marBottom w:val="0"/>
              <w:divBdr>
                <w:top w:val="none" w:sz="0" w:space="0" w:color="auto"/>
                <w:left w:val="none" w:sz="0" w:space="0" w:color="auto"/>
                <w:bottom w:val="none" w:sz="0" w:space="0" w:color="auto"/>
                <w:right w:val="none" w:sz="0" w:space="0" w:color="auto"/>
              </w:divBdr>
            </w:div>
            <w:div w:id="1309436987">
              <w:marLeft w:val="0"/>
              <w:marRight w:val="0"/>
              <w:marTop w:val="0"/>
              <w:marBottom w:val="0"/>
              <w:divBdr>
                <w:top w:val="none" w:sz="0" w:space="0" w:color="auto"/>
                <w:left w:val="none" w:sz="0" w:space="0" w:color="auto"/>
                <w:bottom w:val="none" w:sz="0" w:space="0" w:color="auto"/>
                <w:right w:val="none" w:sz="0" w:space="0" w:color="auto"/>
              </w:divBdr>
              <w:divsChild>
                <w:div w:id="1994019402">
                  <w:marLeft w:val="0"/>
                  <w:marRight w:val="0"/>
                  <w:marTop w:val="0"/>
                  <w:marBottom w:val="0"/>
                  <w:divBdr>
                    <w:top w:val="single" w:sz="8" w:space="0" w:color="000000"/>
                    <w:left w:val="single" w:sz="8" w:space="0" w:color="000000"/>
                    <w:bottom w:val="single" w:sz="8" w:space="0" w:color="000000"/>
                    <w:right w:val="single" w:sz="8" w:space="0" w:color="000000"/>
                  </w:divBdr>
                </w:div>
                <w:div w:id="2002003616">
                  <w:marLeft w:val="0"/>
                  <w:marRight w:val="0"/>
                  <w:marTop w:val="0"/>
                  <w:marBottom w:val="0"/>
                  <w:divBdr>
                    <w:top w:val="none" w:sz="0" w:space="0" w:color="auto"/>
                    <w:left w:val="none" w:sz="0" w:space="0" w:color="auto"/>
                    <w:bottom w:val="none" w:sz="0" w:space="0" w:color="auto"/>
                    <w:right w:val="none" w:sz="0" w:space="0" w:color="auto"/>
                  </w:divBdr>
                </w:div>
              </w:divsChild>
            </w:div>
            <w:div w:id="1046949101">
              <w:marLeft w:val="0"/>
              <w:marRight w:val="0"/>
              <w:marTop w:val="0"/>
              <w:marBottom w:val="0"/>
              <w:divBdr>
                <w:top w:val="none" w:sz="0" w:space="0" w:color="auto"/>
                <w:left w:val="none" w:sz="0" w:space="0" w:color="auto"/>
                <w:bottom w:val="none" w:sz="0" w:space="0" w:color="auto"/>
                <w:right w:val="none" w:sz="0" w:space="0" w:color="auto"/>
              </w:divBdr>
            </w:div>
            <w:div w:id="496387522">
              <w:marLeft w:val="0"/>
              <w:marRight w:val="0"/>
              <w:marTop w:val="0"/>
              <w:marBottom w:val="0"/>
              <w:divBdr>
                <w:top w:val="none" w:sz="0" w:space="0" w:color="auto"/>
                <w:left w:val="none" w:sz="0" w:space="0" w:color="auto"/>
                <w:bottom w:val="none" w:sz="0" w:space="0" w:color="auto"/>
                <w:right w:val="none" w:sz="0" w:space="0" w:color="auto"/>
              </w:divBdr>
              <w:divsChild>
                <w:div w:id="23150507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162703139">
              <w:marLeft w:val="0"/>
              <w:marRight w:val="0"/>
              <w:marTop w:val="0"/>
              <w:marBottom w:val="0"/>
              <w:divBdr>
                <w:top w:val="none" w:sz="0" w:space="0" w:color="auto"/>
                <w:left w:val="none" w:sz="0" w:space="0" w:color="auto"/>
                <w:bottom w:val="none" w:sz="0" w:space="0" w:color="auto"/>
                <w:right w:val="none" w:sz="0" w:space="0" w:color="auto"/>
              </w:divBdr>
            </w:div>
            <w:div w:id="1676376886">
              <w:marLeft w:val="0"/>
              <w:marRight w:val="0"/>
              <w:marTop w:val="0"/>
              <w:marBottom w:val="0"/>
              <w:divBdr>
                <w:top w:val="none" w:sz="0" w:space="0" w:color="auto"/>
                <w:left w:val="none" w:sz="0" w:space="0" w:color="auto"/>
                <w:bottom w:val="none" w:sz="0" w:space="0" w:color="auto"/>
                <w:right w:val="none" w:sz="0" w:space="0" w:color="auto"/>
              </w:divBdr>
              <w:divsChild>
                <w:div w:id="185437068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6120154">
              <w:marLeft w:val="0"/>
              <w:marRight w:val="0"/>
              <w:marTop w:val="0"/>
              <w:marBottom w:val="0"/>
              <w:divBdr>
                <w:top w:val="none" w:sz="0" w:space="0" w:color="auto"/>
                <w:left w:val="none" w:sz="0" w:space="0" w:color="auto"/>
                <w:bottom w:val="none" w:sz="0" w:space="0" w:color="auto"/>
                <w:right w:val="none" w:sz="0" w:space="0" w:color="auto"/>
              </w:divBdr>
            </w:div>
            <w:div w:id="1261991633">
              <w:marLeft w:val="0"/>
              <w:marRight w:val="0"/>
              <w:marTop w:val="0"/>
              <w:marBottom w:val="0"/>
              <w:divBdr>
                <w:top w:val="none" w:sz="0" w:space="0" w:color="auto"/>
                <w:left w:val="none" w:sz="0" w:space="0" w:color="auto"/>
                <w:bottom w:val="none" w:sz="0" w:space="0" w:color="auto"/>
                <w:right w:val="none" w:sz="0" w:space="0" w:color="auto"/>
              </w:divBdr>
              <w:divsChild>
                <w:div w:id="120733195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567378707">
              <w:marLeft w:val="0"/>
              <w:marRight w:val="0"/>
              <w:marTop w:val="0"/>
              <w:marBottom w:val="0"/>
              <w:divBdr>
                <w:top w:val="none" w:sz="0" w:space="0" w:color="auto"/>
                <w:left w:val="none" w:sz="0" w:space="0" w:color="auto"/>
                <w:bottom w:val="none" w:sz="0" w:space="0" w:color="auto"/>
                <w:right w:val="none" w:sz="0" w:space="0" w:color="auto"/>
              </w:divBdr>
            </w:div>
            <w:div w:id="2036685728">
              <w:marLeft w:val="0"/>
              <w:marRight w:val="0"/>
              <w:marTop w:val="0"/>
              <w:marBottom w:val="0"/>
              <w:divBdr>
                <w:top w:val="none" w:sz="0" w:space="0" w:color="auto"/>
                <w:left w:val="none" w:sz="0" w:space="0" w:color="auto"/>
                <w:bottom w:val="none" w:sz="0" w:space="0" w:color="auto"/>
                <w:right w:val="none" w:sz="0" w:space="0" w:color="auto"/>
              </w:divBdr>
              <w:divsChild>
                <w:div w:id="214226705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055347419">
              <w:marLeft w:val="0"/>
              <w:marRight w:val="0"/>
              <w:marTop w:val="0"/>
              <w:marBottom w:val="0"/>
              <w:divBdr>
                <w:top w:val="none" w:sz="0" w:space="0" w:color="auto"/>
                <w:left w:val="none" w:sz="0" w:space="0" w:color="auto"/>
                <w:bottom w:val="none" w:sz="0" w:space="0" w:color="auto"/>
                <w:right w:val="none" w:sz="0" w:space="0" w:color="auto"/>
              </w:divBdr>
            </w:div>
            <w:div w:id="251279761">
              <w:marLeft w:val="0"/>
              <w:marRight w:val="0"/>
              <w:marTop w:val="0"/>
              <w:marBottom w:val="0"/>
              <w:divBdr>
                <w:top w:val="none" w:sz="0" w:space="0" w:color="auto"/>
                <w:left w:val="none" w:sz="0" w:space="0" w:color="auto"/>
                <w:bottom w:val="none" w:sz="0" w:space="0" w:color="auto"/>
                <w:right w:val="none" w:sz="0" w:space="0" w:color="auto"/>
              </w:divBdr>
              <w:divsChild>
                <w:div w:id="889266143">
                  <w:marLeft w:val="0"/>
                  <w:marRight w:val="0"/>
                  <w:marTop w:val="0"/>
                  <w:marBottom w:val="0"/>
                  <w:divBdr>
                    <w:top w:val="none" w:sz="0" w:space="0" w:color="auto"/>
                    <w:left w:val="none" w:sz="0" w:space="0" w:color="auto"/>
                    <w:bottom w:val="none" w:sz="0" w:space="0" w:color="auto"/>
                    <w:right w:val="none" w:sz="0" w:space="0" w:color="auto"/>
                  </w:divBdr>
                </w:div>
                <w:div w:id="117534012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0112875">
              <w:marLeft w:val="0"/>
              <w:marRight w:val="0"/>
              <w:marTop w:val="0"/>
              <w:marBottom w:val="0"/>
              <w:divBdr>
                <w:top w:val="none" w:sz="0" w:space="0" w:color="auto"/>
                <w:left w:val="none" w:sz="0" w:space="0" w:color="auto"/>
                <w:bottom w:val="none" w:sz="0" w:space="0" w:color="auto"/>
                <w:right w:val="none" w:sz="0" w:space="0" w:color="auto"/>
              </w:divBdr>
            </w:div>
            <w:div w:id="1345355028">
              <w:marLeft w:val="0"/>
              <w:marRight w:val="0"/>
              <w:marTop w:val="0"/>
              <w:marBottom w:val="0"/>
              <w:divBdr>
                <w:top w:val="none" w:sz="0" w:space="0" w:color="auto"/>
                <w:left w:val="none" w:sz="0" w:space="0" w:color="auto"/>
                <w:bottom w:val="none" w:sz="0" w:space="0" w:color="auto"/>
                <w:right w:val="none" w:sz="0" w:space="0" w:color="auto"/>
              </w:divBdr>
              <w:divsChild>
                <w:div w:id="1292707807">
                  <w:marLeft w:val="0"/>
                  <w:marRight w:val="0"/>
                  <w:marTop w:val="0"/>
                  <w:marBottom w:val="0"/>
                  <w:divBdr>
                    <w:top w:val="single" w:sz="8" w:space="0" w:color="000000"/>
                    <w:left w:val="single" w:sz="8" w:space="0" w:color="000000"/>
                    <w:bottom w:val="single" w:sz="8" w:space="0" w:color="000000"/>
                    <w:right w:val="single" w:sz="8" w:space="0" w:color="000000"/>
                  </w:divBdr>
                </w:div>
                <w:div w:id="717045656">
                  <w:marLeft w:val="0"/>
                  <w:marRight w:val="0"/>
                  <w:marTop w:val="0"/>
                  <w:marBottom w:val="0"/>
                  <w:divBdr>
                    <w:top w:val="none" w:sz="0" w:space="0" w:color="auto"/>
                    <w:left w:val="none" w:sz="0" w:space="0" w:color="auto"/>
                    <w:bottom w:val="none" w:sz="0" w:space="0" w:color="auto"/>
                    <w:right w:val="none" w:sz="0" w:space="0" w:color="auto"/>
                  </w:divBdr>
                </w:div>
              </w:divsChild>
            </w:div>
            <w:div w:id="531651094">
              <w:marLeft w:val="0"/>
              <w:marRight w:val="0"/>
              <w:marTop w:val="0"/>
              <w:marBottom w:val="0"/>
              <w:divBdr>
                <w:top w:val="none" w:sz="0" w:space="0" w:color="auto"/>
                <w:left w:val="none" w:sz="0" w:space="0" w:color="auto"/>
                <w:bottom w:val="none" w:sz="0" w:space="0" w:color="auto"/>
                <w:right w:val="none" w:sz="0" w:space="0" w:color="auto"/>
              </w:divBdr>
            </w:div>
            <w:div w:id="1018432191">
              <w:marLeft w:val="0"/>
              <w:marRight w:val="0"/>
              <w:marTop w:val="0"/>
              <w:marBottom w:val="0"/>
              <w:divBdr>
                <w:top w:val="none" w:sz="0" w:space="0" w:color="auto"/>
                <w:left w:val="none" w:sz="0" w:space="0" w:color="auto"/>
                <w:bottom w:val="none" w:sz="0" w:space="0" w:color="auto"/>
                <w:right w:val="none" w:sz="0" w:space="0" w:color="auto"/>
              </w:divBdr>
              <w:divsChild>
                <w:div w:id="384762315">
                  <w:marLeft w:val="0"/>
                  <w:marRight w:val="0"/>
                  <w:marTop w:val="0"/>
                  <w:marBottom w:val="0"/>
                  <w:divBdr>
                    <w:top w:val="single" w:sz="8" w:space="0" w:color="000000"/>
                    <w:left w:val="single" w:sz="8" w:space="0" w:color="000000"/>
                    <w:bottom w:val="single" w:sz="8" w:space="0" w:color="000000"/>
                    <w:right w:val="single" w:sz="8" w:space="0" w:color="000000"/>
                  </w:divBdr>
                </w:div>
                <w:div w:id="115896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3474">
      <w:bodyDiv w:val="1"/>
      <w:marLeft w:val="0"/>
      <w:marRight w:val="0"/>
      <w:marTop w:val="21"/>
      <w:marBottom w:val="522"/>
      <w:divBdr>
        <w:top w:val="none" w:sz="0" w:space="0" w:color="auto"/>
        <w:left w:val="none" w:sz="0" w:space="0" w:color="auto"/>
        <w:bottom w:val="none" w:sz="0" w:space="0" w:color="auto"/>
        <w:right w:val="none" w:sz="0" w:space="0" w:color="auto"/>
      </w:divBdr>
      <w:divsChild>
        <w:div w:id="709300439">
          <w:marLeft w:val="0"/>
          <w:marRight w:val="0"/>
          <w:marTop w:val="0"/>
          <w:marBottom w:val="0"/>
          <w:divBdr>
            <w:top w:val="none" w:sz="0" w:space="0" w:color="auto"/>
            <w:left w:val="none" w:sz="0" w:space="0" w:color="auto"/>
            <w:bottom w:val="none" w:sz="0" w:space="0" w:color="auto"/>
            <w:right w:val="none" w:sz="0" w:space="0" w:color="auto"/>
          </w:divBdr>
          <w:divsChild>
            <w:div w:id="2135125808">
              <w:marLeft w:val="0"/>
              <w:marRight w:val="0"/>
              <w:marTop w:val="0"/>
              <w:marBottom w:val="0"/>
              <w:divBdr>
                <w:top w:val="none" w:sz="0" w:space="0" w:color="auto"/>
                <w:left w:val="none" w:sz="0" w:space="0" w:color="auto"/>
                <w:bottom w:val="none" w:sz="0" w:space="0" w:color="auto"/>
                <w:right w:val="none" w:sz="0" w:space="0" w:color="auto"/>
              </w:divBdr>
              <w:divsChild>
                <w:div w:id="846022431">
                  <w:marLeft w:val="0"/>
                  <w:marRight w:val="0"/>
                  <w:marTop w:val="0"/>
                  <w:marBottom w:val="0"/>
                  <w:divBdr>
                    <w:top w:val="none" w:sz="0" w:space="0" w:color="auto"/>
                    <w:left w:val="none" w:sz="0" w:space="0" w:color="auto"/>
                    <w:bottom w:val="none" w:sz="0" w:space="0" w:color="auto"/>
                    <w:right w:val="none" w:sz="0" w:space="0" w:color="auto"/>
                  </w:divBdr>
                </w:div>
                <w:div w:id="2068525702">
                  <w:marLeft w:val="0"/>
                  <w:marRight w:val="0"/>
                  <w:marTop w:val="0"/>
                  <w:marBottom w:val="0"/>
                  <w:divBdr>
                    <w:top w:val="single" w:sz="8" w:space="0" w:color="000000"/>
                    <w:left w:val="single" w:sz="8" w:space="0" w:color="000000"/>
                    <w:bottom w:val="single" w:sz="8" w:space="0" w:color="000000"/>
                    <w:right w:val="single" w:sz="8" w:space="0" w:color="000000"/>
                  </w:divBdr>
                </w:div>
                <w:div w:id="140876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538932417">
      <w:bodyDiv w:val="1"/>
      <w:marLeft w:val="0"/>
      <w:marRight w:val="0"/>
      <w:marTop w:val="21"/>
      <w:marBottom w:val="522"/>
      <w:divBdr>
        <w:top w:val="none" w:sz="0" w:space="0" w:color="auto"/>
        <w:left w:val="none" w:sz="0" w:space="0" w:color="auto"/>
        <w:bottom w:val="none" w:sz="0" w:space="0" w:color="auto"/>
        <w:right w:val="none" w:sz="0" w:space="0" w:color="auto"/>
      </w:divBdr>
      <w:divsChild>
        <w:div w:id="1182932388">
          <w:marLeft w:val="0"/>
          <w:marRight w:val="0"/>
          <w:marTop w:val="0"/>
          <w:marBottom w:val="0"/>
          <w:divBdr>
            <w:top w:val="none" w:sz="0" w:space="0" w:color="auto"/>
            <w:left w:val="none" w:sz="0" w:space="0" w:color="auto"/>
            <w:bottom w:val="none" w:sz="0" w:space="0" w:color="auto"/>
            <w:right w:val="none" w:sz="0" w:space="0" w:color="auto"/>
          </w:divBdr>
          <w:divsChild>
            <w:div w:id="1828470381">
              <w:marLeft w:val="0"/>
              <w:marRight w:val="0"/>
              <w:marTop w:val="0"/>
              <w:marBottom w:val="0"/>
              <w:divBdr>
                <w:top w:val="none" w:sz="0" w:space="0" w:color="auto"/>
                <w:left w:val="none" w:sz="0" w:space="0" w:color="auto"/>
                <w:bottom w:val="none" w:sz="0" w:space="0" w:color="auto"/>
                <w:right w:val="none" w:sz="0" w:space="0" w:color="auto"/>
              </w:divBdr>
            </w:div>
            <w:div w:id="97484481">
              <w:marLeft w:val="0"/>
              <w:marRight w:val="0"/>
              <w:marTop w:val="0"/>
              <w:marBottom w:val="0"/>
              <w:divBdr>
                <w:top w:val="none" w:sz="0" w:space="0" w:color="auto"/>
                <w:left w:val="none" w:sz="0" w:space="0" w:color="auto"/>
                <w:bottom w:val="none" w:sz="0" w:space="0" w:color="auto"/>
                <w:right w:val="none" w:sz="0" w:space="0" w:color="auto"/>
              </w:divBdr>
            </w:div>
            <w:div w:id="1402363990">
              <w:marLeft w:val="0"/>
              <w:marRight w:val="0"/>
              <w:marTop w:val="0"/>
              <w:marBottom w:val="0"/>
              <w:divBdr>
                <w:top w:val="none" w:sz="0" w:space="0" w:color="auto"/>
                <w:left w:val="none" w:sz="0" w:space="0" w:color="auto"/>
                <w:bottom w:val="none" w:sz="0" w:space="0" w:color="auto"/>
                <w:right w:val="none" w:sz="0" w:space="0" w:color="auto"/>
              </w:divBdr>
            </w:div>
            <w:div w:id="1560362799">
              <w:marLeft w:val="0"/>
              <w:marRight w:val="0"/>
              <w:marTop w:val="0"/>
              <w:marBottom w:val="0"/>
              <w:divBdr>
                <w:top w:val="none" w:sz="0" w:space="0" w:color="auto"/>
                <w:left w:val="none" w:sz="0" w:space="0" w:color="auto"/>
                <w:bottom w:val="none" w:sz="0" w:space="0" w:color="auto"/>
                <w:right w:val="none" w:sz="0" w:space="0" w:color="auto"/>
              </w:divBdr>
            </w:div>
            <w:div w:id="437607934">
              <w:marLeft w:val="0"/>
              <w:marRight w:val="0"/>
              <w:marTop w:val="0"/>
              <w:marBottom w:val="0"/>
              <w:divBdr>
                <w:top w:val="none" w:sz="0" w:space="0" w:color="auto"/>
                <w:left w:val="none" w:sz="0" w:space="0" w:color="auto"/>
                <w:bottom w:val="none" w:sz="0" w:space="0" w:color="auto"/>
                <w:right w:val="none" w:sz="0" w:space="0" w:color="auto"/>
              </w:divBdr>
            </w:div>
            <w:div w:id="121730040">
              <w:marLeft w:val="0"/>
              <w:marRight w:val="0"/>
              <w:marTop w:val="0"/>
              <w:marBottom w:val="0"/>
              <w:divBdr>
                <w:top w:val="none" w:sz="0" w:space="0" w:color="auto"/>
                <w:left w:val="none" w:sz="0" w:space="0" w:color="auto"/>
                <w:bottom w:val="none" w:sz="0" w:space="0" w:color="auto"/>
                <w:right w:val="none" w:sz="0" w:space="0" w:color="auto"/>
              </w:divBdr>
            </w:div>
            <w:div w:id="738483107">
              <w:marLeft w:val="0"/>
              <w:marRight w:val="0"/>
              <w:marTop w:val="0"/>
              <w:marBottom w:val="0"/>
              <w:divBdr>
                <w:top w:val="none" w:sz="0" w:space="0" w:color="auto"/>
                <w:left w:val="none" w:sz="0" w:space="0" w:color="auto"/>
                <w:bottom w:val="none" w:sz="0" w:space="0" w:color="auto"/>
                <w:right w:val="none" w:sz="0" w:space="0" w:color="auto"/>
              </w:divBdr>
            </w:div>
            <w:div w:id="487792616">
              <w:marLeft w:val="0"/>
              <w:marRight w:val="0"/>
              <w:marTop w:val="0"/>
              <w:marBottom w:val="0"/>
              <w:divBdr>
                <w:top w:val="none" w:sz="0" w:space="0" w:color="auto"/>
                <w:left w:val="none" w:sz="0" w:space="0" w:color="auto"/>
                <w:bottom w:val="none" w:sz="0" w:space="0" w:color="auto"/>
                <w:right w:val="none" w:sz="0" w:space="0" w:color="auto"/>
              </w:divBdr>
            </w:div>
            <w:div w:id="646937619">
              <w:marLeft w:val="0"/>
              <w:marRight w:val="0"/>
              <w:marTop w:val="0"/>
              <w:marBottom w:val="0"/>
              <w:divBdr>
                <w:top w:val="none" w:sz="0" w:space="0" w:color="auto"/>
                <w:left w:val="none" w:sz="0" w:space="0" w:color="auto"/>
                <w:bottom w:val="none" w:sz="0" w:space="0" w:color="auto"/>
                <w:right w:val="none" w:sz="0" w:space="0" w:color="auto"/>
              </w:divBdr>
            </w:div>
            <w:div w:id="509485975">
              <w:marLeft w:val="0"/>
              <w:marRight w:val="0"/>
              <w:marTop w:val="0"/>
              <w:marBottom w:val="0"/>
              <w:divBdr>
                <w:top w:val="none" w:sz="0" w:space="0" w:color="auto"/>
                <w:left w:val="none" w:sz="0" w:space="0" w:color="auto"/>
                <w:bottom w:val="none" w:sz="0" w:space="0" w:color="auto"/>
                <w:right w:val="none" w:sz="0" w:space="0" w:color="auto"/>
              </w:divBdr>
            </w:div>
            <w:div w:id="1658417813">
              <w:marLeft w:val="0"/>
              <w:marRight w:val="0"/>
              <w:marTop w:val="0"/>
              <w:marBottom w:val="0"/>
              <w:divBdr>
                <w:top w:val="none" w:sz="0" w:space="0" w:color="auto"/>
                <w:left w:val="none" w:sz="0" w:space="0" w:color="auto"/>
                <w:bottom w:val="none" w:sz="0" w:space="0" w:color="auto"/>
                <w:right w:val="none" w:sz="0" w:space="0" w:color="auto"/>
              </w:divBdr>
            </w:div>
            <w:div w:id="1659380647">
              <w:marLeft w:val="0"/>
              <w:marRight w:val="0"/>
              <w:marTop w:val="0"/>
              <w:marBottom w:val="0"/>
              <w:divBdr>
                <w:top w:val="none" w:sz="0" w:space="0" w:color="auto"/>
                <w:left w:val="none" w:sz="0" w:space="0" w:color="auto"/>
                <w:bottom w:val="none" w:sz="0" w:space="0" w:color="auto"/>
                <w:right w:val="none" w:sz="0" w:space="0" w:color="auto"/>
              </w:divBdr>
            </w:div>
            <w:div w:id="1073697552">
              <w:marLeft w:val="0"/>
              <w:marRight w:val="0"/>
              <w:marTop w:val="0"/>
              <w:marBottom w:val="0"/>
              <w:divBdr>
                <w:top w:val="none" w:sz="0" w:space="0" w:color="auto"/>
                <w:left w:val="none" w:sz="0" w:space="0" w:color="auto"/>
                <w:bottom w:val="none" w:sz="0" w:space="0" w:color="auto"/>
                <w:right w:val="none" w:sz="0" w:space="0" w:color="auto"/>
              </w:divBdr>
            </w:div>
            <w:div w:id="794643282">
              <w:marLeft w:val="0"/>
              <w:marRight w:val="0"/>
              <w:marTop w:val="0"/>
              <w:marBottom w:val="0"/>
              <w:divBdr>
                <w:top w:val="none" w:sz="0" w:space="0" w:color="auto"/>
                <w:left w:val="none" w:sz="0" w:space="0" w:color="auto"/>
                <w:bottom w:val="none" w:sz="0" w:space="0" w:color="auto"/>
                <w:right w:val="none" w:sz="0" w:space="0" w:color="auto"/>
              </w:divBdr>
            </w:div>
            <w:div w:id="942615671">
              <w:marLeft w:val="0"/>
              <w:marRight w:val="0"/>
              <w:marTop w:val="0"/>
              <w:marBottom w:val="0"/>
              <w:divBdr>
                <w:top w:val="none" w:sz="0" w:space="0" w:color="auto"/>
                <w:left w:val="none" w:sz="0" w:space="0" w:color="auto"/>
                <w:bottom w:val="none" w:sz="0" w:space="0" w:color="auto"/>
                <w:right w:val="none" w:sz="0" w:space="0" w:color="auto"/>
              </w:divBdr>
            </w:div>
            <w:div w:id="1925606887">
              <w:marLeft w:val="0"/>
              <w:marRight w:val="0"/>
              <w:marTop w:val="0"/>
              <w:marBottom w:val="0"/>
              <w:divBdr>
                <w:top w:val="none" w:sz="0" w:space="0" w:color="auto"/>
                <w:left w:val="none" w:sz="0" w:space="0" w:color="auto"/>
                <w:bottom w:val="none" w:sz="0" w:space="0" w:color="auto"/>
                <w:right w:val="none" w:sz="0" w:space="0" w:color="auto"/>
              </w:divBdr>
            </w:div>
            <w:div w:id="1788772206">
              <w:marLeft w:val="0"/>
              <w:marRight w:val="0"/>
              <w:marTop w:val="0"/>
              <w:marBottom w:val="0"/>
              <w:divBdr>
                <w:top w:val="none" w:sz="0" w:space="0" w:color="auto"/>
                <w:left w:val="none" w:sz="0" w:space="0" w:color="auto"/>
                <w:bottom w:val="none" w:sz="0" w:space="0" w:color="auto"/>
                <w:right w:val="none" w:sz="0" w:space="0" w:color="auto"/>
              </w:divBdr>
            </w:div>
            <w:div w:id="1101339647">
              <w:marLeft w:val="0"/>
              <w:marRight w:val="0"/>
              <w:marTop w:val="0"/>
              <w:marBottom w:val="0"/>
              <w:divBdr>
                <w:top w:val="none" w:sz="0" w:space="0" w:color="auto"/>
                <w:left w:val="none" w:sz="0" w:space="0" w:color="auto"/>
                <w:bottom w:val="none" w:sz="0" w:space="0" w:color="auto"/>
                <w:right w:val="none" w:sz="0" w:space="0" w:color="auto"/>
              </w:divBdr>
            </w:div>
            <w:div w:id="68232626">
              <w:marLeft w:val="0"/>
              <w:marRight w:val="0"/>
              <w:marTop w:val="0"/>
              <w:marBottom w:val="0"/>
              <w:divBdr>
                <w:top w:val="none" w:sz="0" w:space="0" w:color="auto"/>
                <w:left w:val="none" w:sz="0" w:space="0" w:color="auto"/>
                <w:bottom w:val="none" w:sz="0" w:space="0" w:color="auto"/>
                <w:right w:val="none" w:sz="0" w:space="0" w:color="auto"/>
              </w:divBdr>
            </w:div>
            <w:div w:id="1038051122">
              <w:marLeft w:val="0"/>
              <w:marRight w:val="0"/>
              <w:marTop w:val="0"/>
              <w:marBottom w:val="0"/>
              <w:divBdr>
                <w:top w:val="none" w:sz="0" w:space="0" w:color="auto"/>
                <w:left w:val="none" w:sz="0" w:space="0" w:color="auto"/>
                <w:bottom w:val="none" w:sz="0" w:space="0" w:color="auto"/>
                <w:right w:val="none" w:sz="0" w:space="0" w:color="auto"/>
              </w:divBdr>
            </w:div>
            <w:div w:id="166362294">
              <w:marLeft w:val="0"/>
              <w:marRight w:val="0"/>
              <w:marTop w:val="0"/>
              <w:marBottom w:val="0"/>
              <w:divBdr>
                <w:top w:val="none" w:sz="0" w:space="0" w:color="auto"/>
                <w:left w:val="none" w:sz="0" w:space="0" w:color="auto"/>
                <w:bottom w:val="none" w:sz="0" w:space="0" w:color="auto"/>
                <w:right w:val="none" w:sz="0" w:space="0" w:color="auto"/>
              </w:divBdr>
            </w:div>
            <w:div w:id="1822769318">
              <w:marLeft w:val="0"/>
              <w:marRight w:val="0"/>
              <w:marTop w:val="0"/>
              <w:marBottom w:val="0"/>
              <w:divBdr>
                <w:top w:val="none" w:sz="0" w:space="0" w:color="auto"/>
                <w:left w:val="none" w:sz="0" w:space="0" w:color="auto"/>
                <w:bottom w:val="none" w:sz="0" w:space="0" w:color="auto"/>
                <w:right w:val="none" w:sz="0" w:space="0" w:color="auto"/>
              </w:divBdr>
            </w:div>
            <w:div w:id="755831168">
              <w:marLeft w:val="0"/>
              <w:marRight w:val="0"/>
              <w:marTop w:val="0"/>
              <w:marBottom w:val="0"/>
              <w:divBdr>
                <w:top w:val="none" w:sz="0" w:space="0" w:color="auto"/>
                <w:left w:val="none" w:sz="0" w:space="0" w:color="auto"/>
                <w:bottom w:val="none" w:sz="0" w:space="0" w:color="auto"/>
                <w:right w:val="none" w:sz="0" w:space="0" w:color="auto"/>
              </w:divBdr>
            </w:div>
            <w:div w:id="1850827114">
              <w:marLeft w:val="0"/>
              <w:marRight w:val="0"/>
              <w:marTop w:val="0"/>
              <w:marBottom w:val="0"/>
              <w:divBdr>
                <w:top w:val="none" w:sz="0" w:space="0" w:color="auto"/>
                <w:left w:val="none" w:sz="0" w:space="0" w:color="auto"/>
                <w:bottom w:val="none" w:sz="0" w:space="0" w:color="auto"/>
                <w:right w:val="none" w:sz="0" w:space="0" w:color="auto"/>
              </w:divBdr>
            </w:div>
            <w:div w:id="1136338682">
              <w:marLeft w:val="0"/>
              <w:marRight w:val="0"/>
              <w:marTop w:val="0"/>
              <w:marBottom w:val="0"/>
              <w:divBdr>
                <w:top w:val="none" w:sz="0" w:space="0" w:color="auto"/>
                <w:left w:val="none" w:sz="0" w:space="0" w:color="auto"/>
                <w:bottom w:val="none" w:sz="0" w:space="0" w:color="auto"/>
                <w:right w:val="none" w:sz="0" w:space="0" w:color="auto"/>
              </w:divBdr>
            </w:div>
            <w:div w:id="1519418943">
              <w:marLeft w:val="0"/>
              <w:marRight w:val="0"/>
              <w:marTop w:val="0"/>
              <w:marBottom w:val="0"/>
              <w:divBdr>
                <w:top w:val="none" w:sz="0" w:space="0" w:color="auto"/>
                <w:left w:val="none" w:sz="0" w:space="0" w:color="auto"/>
                <w:bottom w:val="none" w:sz="0" w:space="0" w:color="auto"/>
                <w:right w:val="none" w:sz="0" w:space="0" w:color="auto"/>
              </w:divBdr>
            </w:div>
            <w:div w:id="1819305025">
              <w:marLeft w:val="0"/>
              <w:marRight w:val="0"/>
              <w:marTop w:val="0"/>
              <w:marBottom w:val="0"/>
              <w:divBdr>
                <w:top w:val="none" w:sz="0" w:space="0" w:color="auto"/>
                <w:left w:val="none" w:sz="0" w:space="0" w:color="auto"/>
                <w:bottom w:val="none" w:sz="0" w:space="0" w:color="auto"/>
                <w:right w:val="none" w:sz="0" w:space="0" w:color="auto"/>
              </w:divBdr>
            </w:div>
            <w:div w:id="671030753">
              <w:marLeft w:val="0"/>
              <w:marRight w:val="0"/>
              <w:marTop w:val="0"/>
              <w:marBottom w:val="0"/>
              <w:divBdr>
                <w:top w:val="none" w:sz="0" w:space="0" w:color="auto"/>
                <w:left w:val="none" w:sz="0" w:space="0" w:color="auto"/>
                <w:bottom w:val="none" w:sz="0" w:space="0" w:color="auto"/>
                <w:right w:val="none" w:sz="0" w:space="0" w:color="auto"/>
              </w:divBdr>
            </w:div>
            <w:div w:id="1658268673">
              <w:marLeft w:val="0"/>
              <w:marRight w:val="0"/>
              <w:marTop w:val="0"/>
              <w:marBottom w:val="0"/>
              <w:divBdr>
                <w:top w:val="none" w:sz="0" w:space="0" w:color="auto"/>
                <w:left w:val="none" w:sz="0" w:space="0" w:color="auto"/>
                <w:bottom w:val="none" w:sz="0" w:space="0" w:color="auto"/>
                <w:right w:val="none" w:sz="0" w:space="0" w:color="auto"/>
              </w:divBdr>
            </w:div>
            <w:div w:id="781801025">
              <w:marLeft w:val="0"/>
              <w:marRight w:val="0"/>
              <w:marTop w:val="0"/>
              <w:marBottom w:val="0"/>
              <w:divBdr>
                <w:top w:val="none" w:sz="0" w:space="0" w:color="auto"/>
                <w:left w:val="none" w:sz="0" w:space="0" w:color="auto"/>
                <w:bottom w:val="none" w:sz="0" w:space="0" w:color="auto"/>
                <w:right w:val="none" w:sz="0" w:space="0" w:color="auto"/>
              </w:divBdr>
            </w:div>
            <w:div w:id="541329171">
              <w:marLeft w:val="0"/>
              <w:marRight w:val="0"/>
              <w:marTop w:val="0"/>
              <w:marBottom w:val="0"/>
              <w:divBdr>
                <w:top w:val="none" w:sz="0" w:space="0" w:color="auto"/>
                <w:left w:val="none" w:sz="0" w:space="0" w:color="auto"/>
                <w:bottom w:val="none" w:sz="0" w:space="0" w:color="auto"/>
                <w:right w:val="none" w:sz="0" w:space="0" w:color="auto"/>
              </w:divBdr>
            </w:div>
            <w:div w:id="1896425417">
              <w:marLeft w:val="0"/>
              <w:marRight w:val="0"/>
              <w:marTop w:val="0"/>
              <w:marBottom w:val="0"/>
              <w:divBdr>
                <w:top w:val="none" w:sz="0" w:space="0" w:color="auto"/>
                <w:left w:val="none" w:sz="0" w:space="0" w:color="auto"/>
                <w:bottom w:val="none" w:sz="0" w:space="0" w:color="auto"/>
                <w:right w:val="none" w:sz="0" w:space="0" w:color="auto"/>
              </w:divBdr>
            </w:div>
            <w:div w:id="1762263112">
              <w:marLeft w:val="0"/>
              <w:marRight w:val="0"/>
              <w:marTop w:val="0"/>
              <w:marBottom w:val="0"/>
              <w:divBdr>
                <w:top w:val="none" w:sz="0" w:space="0" w:color="auto"/>
                <w:left w:val="none" w:sz="0" w:space="0" w:color="auto"/>
                <w:bottom w:val="none" w:sz="0" w:space="0" w:color="auto"/>
                <w:right w:val="none" w:sz="0" w:space="0" w:color="auto"/>
              </w:divBdr>
            </w:div>
            <w:div w:id="1115754710">
              <w:marLeft w:val="0"/>
              <w:marRight w:val="0"/>
              <w:marTop w:val="0"/>
              <w:marBottom w:val="0"/>
              <w:divBdr>
                <w:top w:val="none" w:sz="0" w:space="0" w:color="auto"/>
                <w:left w:val="none" w:sz="0" w:space="0" w:color="auto"/>
                <w:bottom w:val="none" w:sz="0" w:space="0" w:color="auto"/>
                <w:right w:val="none" w:sz="0" w:space="0" w:color="auto"/>
              </w:divBdr>
            </w:div>
            <w:div w:id="1677999094">
              <w:marLeft w:val="0"/>
              <w:marRight w:val="0"/>
              <w:marTop w:val="0"/>
              <w:marBottom w:val="0"/>
              <w:divBdr>
                <w:top w:val="none" w:sz="0" w:space="0" w:color="auto"/>
                <w:left w:val="none" w:sz="0" w:space="0" w:color="auto"/>
                <w:bottom w:val="none" w:sz="0" w:space="0" w:color="auto"/>
                <w:right w:val="none" w:sz="0" w:space="0" w:color="auto"/>
              </w:divBdr>
            </w:div>
            <w:div w:id="1597328272">
              <w:marLeft w:val="0"/>
              <w:marRight w:val="0"/>
              <w:marTop w:val="0"/>
              <w:marBottom w:val="0"/>
              <w:divBdr>
                <w:top w:val="none" w:sz="0" w:space="0" w:color="auto"/>
                <w:left w:val="none" w:sz="0" w:space="0" w:color="auto"/>
                <w:bottom w:val="none" w:sz="0" w:space="0" w:color="auto"/>
                <w:right w:val="none" w:sz="0" w:space="0" w:color="auto"/>
              </w:divBdr>
            </w:div>
            <w:div w:id="1976400113">
              <w:marLeft w:val="0"/>
              <w:marRight w:val="0"/>
              <w:marTop w:val="0"/>
              <w:marBottom w:val="0"/>
              <w:divBdr>
                <w:top w:val="none" w:sz="0" w:space="0" w:color="auto"/>
                <w:left w:val="none" w:sz="0" w:space="0" w:color="auto"/>
                <w:bottom w:val="none" w:sz="0" w:space="0" w:color="auto"/>
                <w:right w:val="none" w:sz="0" w:space="0" w:color="auto"/>
              </w:divBdr>
            </w:div>
            <w:div w:id="1789354381">
              <w:marLeft w:val="0"/>
              <w:marRight w:val="0"/>
              <w:marTop w:val="0"/>
              <w:marBottom w:val="0"/>
              <w:divBdr>
                <w:top w:val="none" w:sz="0" w:space="0" w:color="auto"/>
                <w:left w:val="none" w:sz="0" w:space="0" w:color="auto"/>
                <w:bottom w:val="none" w:sz="0" w:space="0" w:color="auto"/>
                <w:right w:val="none" w:sz="0" w:space="0" w:color="auto"/>
              </w:divBdr>
            </w:div>
            <w:div w:id="317345823">
              <w:marLeft w:val="0"/>
              <w:marRight w:val="0"/>
              <w:marTop w:val="0"/>
              <w:marBottom w:val="0"/>
              <w:divBdr>
                <w:top w:val="none" w:sz="0" w:space="0" w:color="auto"/>
                <w:left w:val="none" w:sz="0" w:space="0" w:color="auto"/>
                <w:bottom w:val="none" w:sz="0" w:space="0" w:color="auto"/>
                <w:right w:val="none" w:sz="0" w:space="0" w:color="auto"/>
              </w:divBdr>
            </w:div>
            <w:div w:id="1110589339">
              <w:marLeft w:val="0"/>
              <w:marRight w:val="0"/>
              <w:marTop w:val="0"/>
              <w:marBottom w:val="0"/>
              <w:divBdr>
                <w:top w:val="none" w:sz="0" w:space="0" w:color="auto"/>
                <w:left w:val="none" w:sz="0" w:space="0" w:color="auto"/>
                <w:bottom w:val="none" w:sz="0" w:space="0" w:color="auto"/>
                <w:right w:val="none" w:sz="0" w:space="0" w:color="auto"/>
              </w:divBdr>
            </w:div>
            <w:div w:id="776759456">
              <w:marLeft w:val="0"/>
              <w:marRight w:val="0"/>
              <w:marTop w:val="0"/>
              <w:marBottom w:val="0"/>
              <w:divBdr>
                <w:top w:val="none" w:sz="0" w:space="0" w:color="auto"/>
                <w:left w:val="none" w:sz="0" w:space="0" w:color="auto"/>
                <w:bottom w:val="none" w:sz="0" w:space="0" w:color="auto"/>
                <w:right w:val="none" w:sz="0" w:space="0" w:color="auto"/>
              </w:divBdr>
            </w:div>
            <w:div w:id="1926062820">
              <w:marLeft w:val="0"/>
              <w:marRight w:val="0"/>
              <w:marTop w:val="0"/>
              <w:marBottom w:val="0"/>
              <w:divBdr>
                <w:top w:val="none" w:sz="0" w:space="0" w:color="auto"/>
                <w:left w:val="none" w:sz="0" w:space="0" w:color="auto"/>
                <w:bottom w:val="none" w:sz="0" w:space="0" w:color="auto"/>
                <w:right w:val="none" w:sz="0" w:space="0" w:color="auto"/>
              </w:divBdr>
            </w:div>
            <w:div w:id="2056810327">
              <w:marLeft w:val="0"/>
              <w:marRight w:val="0"/>
              <w:marTop w:val="0"/>
              <w:marBottom w:val="0"/>
              <w:divBdr>
                <w:top w:val="none" w:sz="0" w:space="0" w:color="auto"/>
                <w:left w:val="none" w:sz="0" w:space="0" w:color="auto"/>
                <w:bottom w:val="none" w:sz="0" w:space="0" w:color="auto"/>
                <w:right w:val="none" w:sz="0" w:space="0" w:color="auto"/>
              </w:divBdr>
            </w:div>
            <w:div w:id="100225859">
              <w:marLeft w:val="0"/>
              <w:marRight w:val="0"/>
              <w:marTop w:val="0"/>
              <w:marBottom w:val="0"/>
              <w:divBdr>
                <w:top w:val="none" w:sz="0" w:space="0" w:color="auto"/>
                <w:left w:val="none" w:sz="0" w:space="0" w:color="auto"/>
                <w:bottom w:val="none" w:sz="0" w:space="0" w:color="auto"/>
                <w:right w:val="none" w:sz="0" w:space="0" w:color="auto"/>
              </w:divBdr>
            </w:div>
            <w:div w:id="1163551371">
              <w:marLeft w:val="0"/>
              <w:marRight w:val="0"/>
              <w:marTop w:val="0"/>
              <w:marBottom w:val="0"/>
              <w:divBdr>
                <w:top w:val="none" w:sz="0" w:space="0" w:color="auto"/>
                <w:left w:val="none" w:sz="0" w:space="0" w:color="auto"/>
                <w:bottom w:val="none" w:sz="0" w:space="0" w:color="auto"/>
                <w:right w:val="none" w:sz="0" w:space="0" w:color="auto"/>
              </w:divBdr>
            </w:div>
            <w:div w:id="405417172">
              <w:marLeft w:val="0"/>
              <w:marRight w:val="0"/>
              <w:marTop w:val="0"/>
              <w:marBottom w:val="0"/>
              <w:divBdr>
                <w:top w:val="none" w:sz="0" w:space="0" w:color="auto"/>
                <w:left w:val="none" w:sz="0" w:space="0" w:color="auto"/>
                <w:bottom w:val="none" w:sz="0" w:space="0" w:color="auto"/>
                <w:right w:val="none" w:sz="0" w:space="0" w:color="auto"/>
              </w:divBdr>
            </w:div>
            <w:div w:id="1647658356">
              <w:marLeft w:val="0"/>
              <w:marRight w:val="0"/>
              <w:marTop w:val="0"/>
              <w:marBottom w:val="0"/>
              <w:divBdr>
                <w:top w:val="none" w:sz="0" w:space="0" w:color="auto"/>
                <w:left w:val="none" w:sz="0" w:space="0" w:color="auto"/>
                <w:bottom w:val="none" w:sz="0" w:space="0" w:color="auto"/>
                <w:right w:val="none" w:sz="0" w:space="0" w:color="auto"/>
              </w:divBdr>
            </w:div>
            <w:div w:id="2109999666">
              <w:marLeft w:val="0"/>
              <w:marRight w:val="0"/>
              <w:marTop w:val="0"/>
              <w:marBottom w:val="0"/>
              <w:divBdr>
                <w:top w:val="none" w:sz="0" w:space="0" w:color="auto"/>
                <w:left w:val="none" w:sz="0" w:space="0" w:color="auto"/>
                <w:bottom w:val="none" w:sz="0" w:space="0" w:color="auto"/>
                <w:right w:val="none" w:sz="0" w:space="0" w:color="auto"/>
              </w:divBdr>
            </w:div>
            <w:div w:id="1023164694">
              <w:marLeft w:val="0"/>
              <w:marRight w:val="0"/>
              <w:marTop w:val="0"/>
              <w:marBottom w:val="0"/>
              <w:divBdr>
                <w:top w:val="none" w:sz="0" w:space="0" w:color="auto"/>
                <w:left w:val="none" w:sz="0" w:space="0" w:color="auto"/>
                <w:bottom w:val="none" w:sz="0" w:space="0" w:color="auto"/>
                <w:right w:val="none" w:sz="0" w:space="0" w:color="auto"/>
              </w:divBdr>
            </w:div>
            <w:div w:id="2038459119">
              <w:marLeft w:val="0"/>
              <w:marRight w:val="0"/>
              <w:marTop w:val="0"/>
              <w:marBottom w:val="0"/>
              <w:divBdr>
                <w:top w:val="none" w:sz="0" w:space="0" w:color="auto"/>
                <w:left w:val="none" w:sz="0" w:space="0" w:color="auto"/>
                <w:bottom w:val="none" w:sz="0" w:space="0" w:color="auto"/>
                <w:right w:val="none" w:sz="0" w:space="0" w:color="auto"/>
              </w:divBdr>
            </w:div>
            <w:div w:id="228348790">
              <w:marLeft w:val="0"/>
              <w:marRight w:val="0"/>
              <w:marTop w:val="0"/>
              <w:marBottom w:val="0"/>
              <w:divBdr>
                <w:top w:val="none" w:sz="0" w:space="0" w:color="auto"/>
                <w:left w:val="none" w:sz="0" w:space="0" w:color="auto"/>
                <w:bottom w:val="none" w:sz="0" w:space="0" w:color="auto"/>
                <w:right w:val="none" w:sz="0" w:space="0" w:color="auto"/>
              </w:divBdr>
            </w:div>
            <w:div w:id="1729839048">
              <w:marLeft w:val="0"/>
              <w:marRight w:val="0"/>
              <w:marTop w:val="0"/>
              <w:marBottom w:val="0"/>
              <w:divBdr>
                <w:top w:val="none" w:sz="0" w:space="0" w:color="auto"/>
                <w:left w:val="none" w:sz="0" w:space="0" w:color="auto"/>
                <w:bottom w:val="none" w:sz="0" w:space="0" w:color="auto"/>
                <w:right w:val="none" w:sz="0" w:space="0" w:color="auto"/>
              </w:divBdr>
            </w:div>
            <w:div w:id="1909151792">
              <w:marLeft w:val="0"/>
              <w:marRight w:val="0"/>
              <w:marTop w:val="0"/>
              <w:marBottom w:val="0"/>
              <w:divBdr>
                <w:top w:val="none" w:sz="0" w:space="0" w:color="auto"/>
                <w:left w:val="none" w:sz="0" w:space="0" w:color="auto"/>
                <w:bottom w:val="none" w:sz="0" w:space="0" w:color="auto"/>
                <w:right w:val="none" w:sz="0" w:space="0" w:color="auto"/>
              </w:divBdr>
            </w:div>
            <w:div w:id="1286081330">
              <w:marLeft w:val="0"/>
              <w:marRight w:val="0"/>
              <w:marTop w:val="0"/>
              <w:marBottom w:val="0"/>
              <w:divBdr>
                <w:top w:val="none" w:sz="0" w:space="0" w:color="auto"/>
                <w:left w:val="none" w:sz="0" w:space="0" w:color="auto"/>
                <w:bottom w:val="none" w:sz="0" w:space="0" w:color="auto"/>
                <w:right w:val="none" w:sz="0" w:space="0" w:color="auto"/>
              </w:divBdr>
            </w:div>
            <w:div w:id="275597367">
              <w:marLeft w:val="0"/>
              <w:marRight w:val="0"/>
              <w:marTop w:val="0"/>
              <w:marBottom w:val="0"/>
              <w:divBdr>
                <w:top w:val="none" w:sz="0" w:space="0" w:color="auto"/>
                <w:left w:val="none" w:sz="0" w:space="0" w:color="auto"/>
                <w:bottom w:val="none" w:sz="0" w:space="0" w:color="auto"/>
                <w:right w:val="none" w:sz="0" w:space="0" w:color="auto"/>
              </w:divBdr>
            </w:div>
            <w:div w:id="1944069714">
              <w:marLeft w:val="0"/>
              <w:marRight w:val="0"/>
              <w:marTop w:val="0"/>
              <w:marBottom w:val="0"/>
              <w:divBdr>
                <w:top w:val="none" w:sz="0" w:space="0" w:color="auto"/>
                <w:left w:val="none" w:sz="0" w:space="0" w:color="auto"/>
                <w:bottom w:val="none" w:sz="0" w:space="0" w:color="auto"/>
                <w:right w:val="none" w:sz="0" w:space="0" w:color="auto"/>
              </w:divBdr>
            </w:div>
            <w:div w:id="837038365">
              <w:marLeft w:val="0"/>
              <w:marRight w:val="0"/>
              <w:marTop w:val="0"/>
              <w:marBottom w:val="0"/>
              <w:divBdr>
                <w:top w:val="none" w:sz="0" w:space="0" w:color="auto"/>
                <w:left w:val="none" w:sz="0" w:space="0" w:color="auto"/>
                <w:bottom w:val="none" w:sz="0" w:space="0" w:color="auto"/>
                <w:right w:val="none" w:sz="0" w:space="0" w:color="auto"/>
              </w:divBdr>
            </w:div>
            <w:div w:id="870874501">
              <w:marLeft w:val="0"/>
              <w:marRight w:val="0"/>
              <w:marTop w:val="0"/>
              <w:marBottom w:val="0"/>
              <w:divBdr>
                <w:top w:val="none" w:sz="0" w:space="0" w:color="auto"/>
                <w:left w:val="none" w:sz="0" w:space="0" w:color="auto"/>
                <w:bottom w:val="none" w:sz="0" w:space="0" w:color="auto"/>
                <w:right w:val="none" w:sz="0" w:space="0" w:color="auto"/>
              </w:divBdr>
            </w:div>
            <w:div w:id="350691452">
              <w:marLeft w:val="0"/>
              <w:marRight w:val="0"/>
              <w:marTop w:val="0"/>
              <w:marBottom w:val="0"/>
              <w:divBdr>
                <w:top w:val="none" w:sz="0" w:space="0" w:color="auto"/>
                <w:left w:val="none" w:sz="0" w:space="0" w:color="auto"/>
                <w:bottom w:val="none" w:sz="0" w:space="0" w:color="auto"/>
                <w:right w:val="none" w:sz="0" w:space="0" w:color="auto"/>
              </w:divBdr>
            </w:div>
            <w:div w:id="1337803379">
              <w:marLeft w:val="0"/>
              <w:marRight w:val="0"/>
              <w:marTop w:val="0"/>
              <w:marBottom w:val="0"/>
              <w:divBdr>
                <w:top w:val="none" w:sz="0" w:space="0" w:color="auto"/>
                <w:left w:val="none" w:sz="0" w:space="0" w:color="auto"/>
                <w:bottom w:val="none" w:sz="0" w:space="0" w:color="auto"/>
                <w:right w:val="none" w:sz="0" w:space="0" w:color="auto"/>
              </w:divBdr>
            </w:div>
            <w:div w:id="1685204243">
              <w:marLeft w:val="0"/>
              <w:marRight w:val="0"/>
              <w:marTop w:val="0"/>
              <w:marBottom w:val="0"/>
              <w:divBdr>
                <w:top w:val="none" w:sz="0" w:space="0" w:color="auto"/>
                <w:left w:val="none" w:sz="0" w:space="0" w:color="auto"/>
                <w:bottom w:val="none" w:sz="0" w:space="0" w:color="auto"/>
                <w:right w:val="none" w:sz="0" w:space="0" w:color="auto"/>
              </w:divBdr>
            </w:div>
            <w:div w:id="1427654299">
              <w:marLeft w:val="0"/>
              <w:marRight w:val="0"/>
              <w:marTop w:val="0"/>
              <w:marBottom w:val="0"/>
              <w:divBdr>
                <w:top w:val="none" w:sz="0" w:space="0" w:color="auto"/>
                <w:left w:val="none" w:sz="0" w:space="0" w:color="auto"/>
                <w:bottom w:val="none" w:sz="0" w:space="0" w:color="auto"/>
                <w:right w:val="none" w:sz="0" w:space="0" w:color="auto"/>
              </w:divBdr>
            </w:div>
            <w:div w:id="1465653988">
              <w:marLeft w:val="0"/>
              <w:marRight w:val="0"/>
              <w:marTop w:val="0"/>
              <w:marBottom w:val="0"/>
              <w:divBdr>
                <w:top w:val="none" w:sz="0" w:space="0" w:color="auto"/>
                <w:left w:val="none" w:sz="0" w:space="0" w:color="auto"/>
                <w:bottom w:val="none" w:sz="0" w:space="0" w:color="auto"/>
                <w:right w:val="none" w:sz="0" w:space="0" w:color="auto"/>
              </w:divBdr>
            </w:div>
            <w:div w:id="1039352966">
              <w:marLeft w:val="0"/>
              <w:marRight w:val="0"/>
              <w:marTop w:val="0"/>
              <w:marBottom w:val="0"/>
              <w:divBdr>
                <w:top w:val="none" w:sz="0" w:space="0" w:color="auto"/>
                <w:left w:val="none" w:sz="0" w:space="0" w:color="auto"/>
                <w:bottom w:val="none" w:sz="0" w:space="0" w:color="auto"/>
                <w:right w:val="none" w:sz="0" w:space="0" w:color="auto"/>
              </w:divBdr>
            </w:div>
            <w:div w:id="620915782">
              <w:marLeft w:val="0"/>
              <w:marRight w:val="0"/>
              <w:marTop w:val="0"/>
              <w:marBottom w:val="0"/>
              <w:divBdr>
                <w:top w:val="none" w:sz="0" w:space="0" w:color="auto"/>
                <w:left w:val="none" w:sz="0" w:space="0" w:color="auto"/>
                <w:bottom w:val="none" w:sz="0" w:space="0" w:color="auto"/>
                <w:right w:val="none" w:sz="0" w:space="0" w:color="auto"/>
              </w:divBdr>
              <w:divsChild>
                <w:div w:id="1700545253">
                  <w:marLeft w:val="0"/>
                  <w:marRight w:val="0"/>
                  <w:marTop w:val="0"/>
                  <w:marBottom w:val="0"/>
                  <w:divBdr>
                    <w:top w:val="none" w:sz="0" w:space="0" w:color="auto"/>
                    <w:left w:val="none" w:sz="0" w:space="0" w:color="auto"/>
                    <w:bottom w:val="none" w:sz="0" w:space="0" w:color="auto"/>
                    <w:right w:val="none" w:sz="0" w:space="0" w:color="auto"/>
                  </w:divBdr>
                </w:div>
                <w:div w:id="1846742010">
                  <w:marLeft w:val="0"/>
                  <w:marRight w:val="0"/>
                  <w:marTop w:val="0"/>
                  <w:marBottom w:val="0"/>
                  <w:divBdr>
                    <w:top w:val="single" w:sz="8" w:space="0" w:color="000000"/>
                    <w:left w:val="single" w:sz="8" w:space="0" w:color="000000"/>
                    <w:bottom w:val="single" w:sz="8" w:space="0" w:color="000000"/>
                    <w:right w:val="single" w:sz="8" w:space="0" w:color="000000"/>
                  </w:divBdr>
                </w:div>
                <w:div w:id="17002798">
                  <w:marLeft w:val="0"/>
                  <w:marRight w:val="0"/>
                  <w:marTop w:val="0"/>
                  <w:marBottom w:val="0"/>
                  <w:divBdr>
                    <w:top w:val="none" w:sz="0" w:space="0" w:color="auto"/>
                    <w:left w:val="none" w:sz="0" w:space="0" w:color="auto"/>
                    <w:bottom w:val="none" w:sz="0" w:space="0" w:color="auto"/>
                    <w:right w:val="none" w:sz="0" w:space="0" w:color="auto"/>
                  </w:divBdr>
                </w:div>
              </w:divsChild>
            </w:div>
            <w:div w:id="1435437937">
              <w:marLeft w:val="0"/>
              <w:marRight w:val="0"/>
              <w:marTop w:val="0"/>
              <w:marBottom w:val="0"/>
              <w:divBdr>
                <w:top w:val="none" w:sz="0" w:space="0" w:color="auto"/>
                <w:left w:val="none" w:sz="0" w:space="0" w:color="auto"/>
                <w:bottom w:val="none" w:sz="0" w:space="0" w:color="auto"/>
                <w:right w:val="none" w:sz="0" w:space="0" w:color="auto"/>
              </w:divBdr>
            </w:div>
            <w:div w:id="333536925">
              <w:marLeft w:val="0"/>
              <w:marRight w:val="0"/>
              <w:marTop w:val="0"/>
              <w:marBottom w:val="0"/>
              <w:divBdr>
                <w:top w:val="none" w:sz="0" w:space="0" w:color="auto"/>
                <w:left w:val="none" w:sz="0" w:space="0" w:color="auto"/>
                <w:bottom w:val="none" w:sz="0" w:space="0" w:color="auto"/>
                <w:right w:val="none" w:sz="0" w:space="0" w:color="auto"/>
              </w:divBdr>
              <w:divsChild>
                <w:div w:id="1726489406">
                  <w:marLeft w:val="0"/>
                  <w:marRight w:val="0"/>
                  <w:marTop w:val="0"/>
                  <w:marBottom w:val="0"/>
                  <w:divBdr>
                    <w:top w:val="none" w:sz="0" w:space="0" w:color="auto"/>
                    <w:left w:val="none" w:sz="0" w:space="0" w:color="auto"/>
                    <w:bottom w:val="none" w:sz="0" w:space="0" w:color="auto"/>
                    <w:right w:val="none" w:sz="0" w:space="0" w:color="auto"/>
                  </w:divBdr>
                </w:div>
                <w:div w:id="270480692">
                  <w:marLeft w:val="0"/>
                  <w:marRight w:val="0"/>
                  <w:marTop w:val="0"/>
                  <w:marBottom w:val="0"/>
                  <w:divBdr>
                    <w:top w:val="single" w:sz="8" w:space="0" w:color="000000"/>
                    <w:left w:val="single" w:sz="8" w:space="0" w:color="000000"/>
                    <w:bottom w:val="single" w:sz="8" w:space="0" w:color="000000"/>
                    <w:right w:val="single" w:sz="8" w:space="0" w:color="000000"/>
                  </w:divBdr>
                </w:div>
                <w:div w:id="847136066">
                  <w:marLeft w:val="0"/>
                  <w:marRight w:val="0"/>
                  <w:marTop w:val="0"/>
                  <w:marBottom w:val="0"/>
                  <w:divBdr>
                    <w:top w:val="none" w:sz="0" w:space="0" w:color="auto"/>
                    <w:left w:val="none" w:sz="0" w:space="0" w:color="auto"/>
                    <w:bottom w:val="none" w:sz="0" w:space="0" w:color="auto"/>
                    <w:right w:val="none" w:sz="0" w:space="0" w:color="auto"/>
                  </w:divBdr>
                </w:div>
              </w:divsChild>
            </w:div>
            <w:div w:id="1530950371">
              <w:marLeft w:val="0"/>
              <w:marRight w:val="0"/>
              <w:marTop w:val="0"/>
              <w:marBottom w:val="0"/>
              <w:divBdr>
                <w:top w:val="none" w:sz="0" w:space="0" w:color="auto"/>
                <w:left w:val="none" w:sz="0" w:space="0" w:color="auto"/>
                <w:bottom w:val="none" w:sz="0" w:space="0" w:color="auto"/>
                <w:right w:val="none" w:sz="0" w:space="0" w:color="auto"/>
              </w:divBdr>
            </w:div>
            <w:div w:id="1722752718">
              <w:marLeft w:val="0"/>
              <w:marRight w:val="0"/>
              <w:marTop w:val="0"/>
              <w:marBottom w:val="0"/>
              <w:divBdr>
                <w:top w:val="none" w:sz="0" w:space="0" w:color="auto"/>
                <w:left w:val="none" w:sz="0" w:space="0" w:color="auto"/>
                <w:bottom w:val="none" w:sz="0" w:space="0" w:color="auto"/>
                <w:right w:val="none" w:sz="0" w:space="0" w:color="auto"/>
              </w:divBdr>
              <w:divsChild>
                <w:div w:id="65765557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698237940">
              <w:marLeft w:val="0"/>
              <w:marRight w:val="0"/>
              <w:marTop w:val="0"/>
              <w:marBottom w:val="0"/>
              <w:divBdr>
                <w:top w:val="none" w:sz="0" w:space="0" w:color="auto"/>
                <w:left w:val="none" w:sz="0" w:space="0" w:color="auto"/>
                <w:bottom w:val="none" w:sz="0" w:space="0" w:color="auto"/>
                <w:right w:val="none" w:sz="0" w:space="0" w:color="auto"/>
              </w:divBdr>
            </w:div>
            <w:div w:id="784740175">
              <w:marLeft w:val="0"/>
              <w:marRight w:val="0"/>
              <w:marTop w:val="0"/>
              <w:marBottom w:val="0"/>
              <w:divBdr>
                <w:top w:val="none" w:sz="0" w:space="0" w:color="auto"/>
                <w:left w:val="none" w:sz="0" w:space="0" w:color="auto"/>
                <w:bottom w:val="none" w:sz="0" w:space="0" w:color="auto"/>
                <w:right w:val="none" w:sz="0" w:space="0" w:color="auto"/>
              </w:divBdr>
              <w:divsChild>
                <w:div w:id="15573529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0377465">
              <w:marLeft w:val="0"/>
              <w:marRight w:val="0"/>
              <w:marTop w:val="0"/>
              <w:marBottom w:val="0"/>
              <w:divBdr>
                <w:top w:val="none" w:sz="0" w:space="0" w:color="auto"/>
                <w:left w:val="none" w:sz="0" w:space="0" w:color="auto"/>
                <w:bottom w:val="none" w:sz="0" w:space="0" w:color="auto"/>
                <w:right w:val="none" w:sz="0" w:space="0" w:color="auto"/>
              </w:divBdr>
            </w:div>
            <w:div w:id="1287928949">
              <w:marLeft w:val="0"/>
              <w:marRight w:val="0"/>
              <w:marTop w:val="0"/>
              <w:marBottom w:val="0"/>
              <w:divBdr>
                <w:top w:val="none" w:sz="0" w:space="0" w:color="auto"/>
                <w:left w:val="none" w:sz="0" w:space="0" w:color="auto"/>
                <w:bottom w:val="none" w:sz="0" w:space="0" w:color="auto"/>
                <w:right w:val="none" w:sz="0" w:space="0" w:color="auto"/>
              </w:divBdr>
              <w:divsChild>
                <w:div w:id="74037497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08377674">
              <w:marLeft w:val="0"/>
              <w:marRight w:val="0"/>
              <w:marTop w:val="0"/>
              <w:marBottom w:val="0"/>
              <w:divBdr>
                <w:top w:val="none" w:sz="0" w:space="0" w:color="auto"/>
                <w:left w:val="none" w:sz="0" w:space="0" w:color="auto"/>
                <w:bottom w:val="none" w:sz="0" w:space="0" w:color="auto"/>
                <w:right w:val="none" w:sz="0" w:space="0" w:color="auto"/>
              </w:divBdr>
            </w:div>
            <w:div w:id="653413038">
              <w:marLeft w:val="0"/>
              <w:marRight w:val="0"/>
              <w:marTop w:val="0"/>
              <w:marBottom w:val="0"/>
              <w:divBdr>
                <w:top w:val="none" w:sz="0" w:space="0" w:color="auto"/>
                <w:left w:val="none" w:sz="0" w:space="0" w:color="auto"/>
                <w:bottom w:val="none" w:sz="0" w:space="0" w:color="auto"/>
                <w:right w:val="none" w:sz="0" w:space="0" w:color="auto"/>
              </w:divBdr>
              <w:divsChild>
                <w:div w:id="174734706">
                  <w:marLeft w:val="0"/>
                  <w:marRight w:val="0"/>
                  <w:marTop w:val="0"/>
                  <w:marBottom w:val="0"/>
                  <w:divBdr>
                    <w:top w:val="single" w:sz="8" w:space="0" w:color="000000"/>
                    <w:left w:val="single" w:sz="8" w:space="0" w:color="000000"/>
                    <w:bottom w:val="single" w:sz="8" w:space="0" w:color="000000"/>
                    <w:right w:val="single" w:sz="8" w:space="0" w:color="000000"/>
                  </w:divBdr>
                </w:div>
                <w:div w:id="1513030377">
                  <w:marLeft w:val="0"/>
                  <w:marRight w:val="0"/>
                  <w:marTop w:val="0"/>
                  <w:marBottom w:val="0"/>
                  <w:divBdr>
                    <w:top w:val="none" w:sz="0" w:space="0" w:color="auto"/>
                    <w:left w:val="none" w:sz="0" w:space="0" w:color="auto"/>
                    <w:bottom w:val="none" w:sz="0" w:space="0" w:color="auto"/>
                    <w:right w:val="none" w:sz="0" w:space="0" w:color="auto"/>
                  </w:divBdr>
                </w:div>
              </w:divsChild>
            </w:div>
            <w:div w:id="390152636">
              <w:marLeft w:val="0"/>
              <w:marRight w:val="0"/>
              <w:marTop w:val="0"/>
              <w:marBottom w:val="0"/>
              <w:divBdr>
                <w:top w:val="none" w:sz="0" w:space="0" w:color="auto"/>
                <w:left w:val="none" w:sz="0" w:space="0" w:color="auto"/>
                <w:bottom w:val="none" w:sz="0" w:space="0" w:color="auto"/>
                <w:right w:val="none" w:sz="0" w:space="0" w:color="auto"/>
              </w:divBdr>
            </w:div>
            <w:div w:id="1069232128">
              <w:marLeft w:val="0"/>
              <w:marRight w:val="0"/>
              <w:marTop w:val="0"/>
              <w:marBottom w:val="0"/>
              <w:divBdr>
                <w:top w:val="none" w:sz="0" w:space="0" w:color="auto"/>
                <w:left w:val="none" w:sz="0" w:space="0" w:color="auto"/>
                <w:bottom w:val="none" w:sz="0" w:space="0" w:color="auto"/>
                <w:right w:val="none" w:sz="0" w:space="0" w:color="auto"/>
              </w:divBdr>
              <w:divsChild>
                <w:div w:id="156972989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29678239">
              <w:marLeft w:val="0"/>
              <w:marRight w:val="0"/>
              <w:marTop w:val="0"/>
              <w:marBottom w:val="0"/>
              <w:divBdr>
                <w:top w:val="none" w:sz="0" w:space="0" w:color="auto"/>
                <w:left w:val="none" w:sz="0" w:space="0" w:color="auto"/>
                <w:bottom w:val="none" w:sz="0" w:space="0" w:color="auto"/>
                <w:right w:val="none" w:sz="0" w:space="0" w:color="auto"/>
              </w:divBdr>
            </w:div>
            <w:div w:id="2028559119">
              <w:marLeft w:val="0"/>
              <w:marRight w:val="0"/>
              <w:marTop w:val="0"/>
              <w:marBottom w:val="0"/>
              <w:divBdr>
                <w:top w:val="none" w:sz="0" w:space="0" w:color="auto"/>
                <w:left w:val="none" w:sz="0" w:space="0" w:color="auto"/>
                <w:bottom w:val="none" w:sz="0" w:space="0" w:color="auto"/>
                <w:right w:val="none" w:sz="0" w:space="0" w:color="auto"/>
              </w:divBdr>
              <w:divsChild>
                <w:div w:id="153468334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3189125">
              <w:marLeft w:val="0"/>
              <w:marRight w:val="0"/>
              <w:marTop w:val="0"/>
              <w:marBottom w:val="0"/>
              <w:divBdr>
                <w:top w:val="none" w:sz="0" w:space="0" w:color="auto"/>
                <w:left w:val="none" w:sz="0" w:space="0" w:color="auto"/>
                <w:bottom w:val="none" w:sz="0" w:space="0" w:color="auto"/>
                <w:right w:val="none" w:sz="0" w:space="0" w:color="auto"/>
              </w:divBdr>
            </w:div>
            <w:div w:id="1483932356">
              <w:marLeft w:val="0"/>
              <w:marRight w:val="0"/>
              <w:marTop w:val="0"/>
              <w:marBottom w:val="0"/>
              <w:divBdr>
                <w:top w:val="none" w:sz="0" w:space="0" w:color="auto"/>
                <w:left w:val="none" w:sz="0" w:space="0" w:color="auto"/>
                <w:bottom w:val="none" w:sz="0" w:space="0" w:color="auto"/>
                <w:right w:val="none" w:sz="0" w:space="0" w:color="auto"/>
              </w:divBdr>
              <w:divsChild>
                <w:div w:id="73204268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08175774">
              <w:marLeft w:val="0"/>
              <w:marRight w:val="0"/>
              <w:marTop w:val="0"/>
              <w:marBottom w:val="0"/>
              <w:divBdr>
                <w:top w:val="none" w:sz="0" w:space="0" w:color="auto"/>
                <w:left w:val="none" w:sz="0" w:space="0" w:color="auto"/>
                <w:bottom w:val="none" w:sz="0" w:space="0" w:color="auto"/>
                <w:right w:val="none" w:sz="0" w:space="0" w:color="auto"/>
              </w:divBdr>
            </w:div>
            <w:div w:id="999574361">
              <w:marLeft w:val="0"/>
              <w:marRight w:val="0"/>
              <w:marTop w:val="0"/>
              <w:marBottom w:val="0"/>
              <w:divBdr>
                <w:top w:val="none" w:sz="0" w:space="0" w:color="auto"/>
                <w:left w:val="none" w:sz="0" w:space="0" w:color="auto"/>
                <w:bottom w:val="none" w:sz="0" w:space="0" w:color="auto"/>
                <w:right w:val="none" w:sz="0" w:space="0" w:color="auto"/>
              </w:divBdr>
              <w:divsChild>
                <w:div w:id="11795416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147743281">
              <w:marLeft w:val="0"/>
              <w:marRight w:val="0"/>
              <w:marTop w:val="0"/>
              <w:marBottom w:val="0"/>
              <w:divBdr>
                <w:top w:val="none" w:sz="0" w:space="0" w:color="auto"/>
                <w:left w:val="none" w:sz="0" w:space="0" w:color="auto"/>
                <w:bottom w:val="none" w:sz="0" w:space="0" w:color="auto"/>
                <w:right w:val="none" w:sz="0" w:space="0" w:color="auto"/>
              </w:divBdr>
            </w:div>
            <w:div w:id="974025709">
              <w:marLeft w:val="0"/>
              <w:marRight w:val="0"/>
              <w:marTop w:val="0"/>
              <w:marBottom w:val="0"/>
              <w:divBdr>
                <w:top w:val="none" w:sz="0" w:space="0" w:color="auto"/>
                <w:left w:val="none" w:sz="0" w:space="0" w:color="auto"/>
                <w:bottom w:val="none" w:sz="0" w:space="0" w:color="auto"/>
                <w:right w:val="none" w:sz="0" w:space="0" w:color="auto"/>
              </w:divBdr>
              <w:divsChild>
                <w:div w:id="1988631073">
                  <w:marLeft w:val="0"/>
                  <w:marRight w:val="0"/>
                  <w:marTop w:val="0"/>
                  <w:marBottom w:val="0"/>
                  <w:divBdr>
                    <w:top w:val="none" w:sz="0" w:space="0" w:color="auto"/>
                    <w:left w:val="none" w:sz="0" w:space="0" w:color="auto"/>
                    <w:bottom w:val="none" w:sz="0" w:space="0" w:color="auto"/>
                    <w:right w:val="none" w:sz="0" w:space="0" w:color="auto"/>
                  </w:divBdr>
                </w:div>
                <w:div w:id="177185419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4694560">
              <w:marLeft w:val="0"/>
              <w:marRight w:val="0"/>
              <w:marTop w:val="0"/>
              <w:marBottom w:val="0"/>
              <w:divBdr>
                <w:top w:val="none" w:sz="0" w:space="0" w:color="auto"/>
                <w:left w:val="none" w:sz="0" w:space="0" w:color="auto"/>
                <w:bottom w:val="none" w:sz="0" w:space="0" w:color="auto"/>
                <w:right w:val="none" w:sz="0" w:space="0" w:color="auto"/>
              </w:divBdr>
            </w:div>
            <w:div w:id="872036225">
              <w:marLeft w:val="0"/>
              <w:marRight w:val="0"/>
              <w:marTop w:val="0"/>
              <w:marBottom w:val="0"/>
              <w:divBdr>
                <w:top w:val="none" w:sz="0" w:space="0" w:color="auto"/>
                <w:left w:val="none" w:sz="0" w:space="0" w:color="auto"/>
                <w:bottom w:val="none" w:sz="0" w:space="0" w:color="auto"/>
                <w:right w:val="none" w:sz="0" w:space="0" w:color="auto"/>
              </w:divBdr>
              <w:divsChild>
                <w:div w:id="1644967593">
                  <w:marLeft w:val="0"/>
                  <w:marRight w:val="0"/>
                  <w:marTop w:val="0"/>
                  <w:marBottom w:val="0"/>
                  <w:divBdr>
                    <w:top w:val="single" w:sz="8" w:space="0" w:color="000000"/>
                    <w:left w:val="single" w:sz="8" w:space="0" w:color="000000"/>
                    <w:bottom w:val="single" w:sz="8" w:space="0" w:color="000000"/>
                    <w:right w:val="single" w:sz="8" w:space="0" w:color="000000"/>
                  </w:divBdr>
                </w:div>
                <w:div w:id="2005743344">
                  <w:marLeft w:val="0"/>
                  <w:marRight w:val="0"/>
                  <w:marTop w:val="0"/>
                  <w:marBottom w:val="0"/>
                  <w:divBdr>
                    <w:top w:val="none" w:sz="0" w:space="0" w:color="auto"/>
                    <w:left w:val="none" w:sz="0" w:space="0" w:color="auto"/>
                    <w:bottom w:val="none" w:sz="0" w:space="0" w:color="auto"/>
                    <w:right w:val="none" w:sz="0" w:space="0" w:color="auto"/>
                  </w:divBdr>
                </w:div>
              </w:divsChild>
            </w:div>
            <w:div w:id="1766075512">
              <w:marLeft w:val="0"/>
              <w:marRight w:val="0"/>
              <w:marTop w:val="0"/>
              <w:marBottom w:val="0"/>
              <w:divBdr>
                <w:top w:val="none" w:sz="0" w:space="0" w:color="auto"/>
                <w:left w:val="none" w:sz="0" w:space="0" w:color="auto"/>
                <w:bottom w:val="none" w:sz="0" w:space="0" w:color="auto"/>
                <w:right w:val="none" w:sz="0" w:space="0" w:color="auto"/>
              </w:divBdr>
            </w:div>
            <w:div w:id="1710253472">
              <w:marLeft w:val="0"/>
              <w:marRight w:val="0"/>
              <w:marTop w:val="0"/>
              <w:marBottom w:val="0"/>
              <w:divBdr>
                <w:top w:val="none" w:sz="0" w:space="0" w:color="auto"/>
                <w:left w:val="none" w:sz="0" w:space="0" w:color="auto"/>
                <w:bottom w:val="none" w:sz="0" w:space="0" w:color="auto"/>
                <w:right w:val="none" w:sz="0" w:space="0" w:color="auto"/>
              </w:divBdr>
              <w:divsChild>
                <w:div w:id="20791763">
                  <w:marLeft w:val="0"/>
                  <w:marRight w:val="0"/>
                  <w:marTop w:val="0"/>
                  <w:marBottom w:val="0"/>
                  <w:divBdr>
                    <w:top w:val="single" w:sz="8" w:space="0" w:color="000000"/>
                    <w:left w:val="single" w:sz="8" w:space="0" w:color="000000"/>
                    <w:bottom w:val="single" w:sz="8" w:space="0" w:color="000000"/>
                    <w:right w:val="single" w:sz="8" w:space="0" w:color="000000"/>
                  </w:divBdr>
                </w:div>
                <w:div w:id="142614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350287">
      <w:bodyDiv w:val="1"/>
      <w:marLeft w:val="0"/>
      <w:marRight w:val="0"/>
      <w:marTop w:val="21"/>
      <w:marBottom w:val="522"/>
      <w:divBdr>
        <w:top w:val="none" w:sz="0" w:space="0" w:color="auto"/>
        <w:left w:val="none" w:sz="0" w:space="0" w:color="auto"/>
        <w:bottom w:val="none" w:sz="0" w:space="0" w:color="auto"/>
        <w:right w:val="none" w:sz="0" w:space="0" w:color="auto"/>
      </w:divBdr>
      <w:divsChild>
        <w:div w:id="684986019">
          <w:marLeft w:val="0"/>
          <w:marRight w:val="0"/>
          <w:marTop w:val="0"/>
          <w:marBottom w:val="0"/>
          <w:divBdr>
            <w:top w:val="none" w:sz="0" w:space="0" w:color="auto"/>
            <w:left w:val="none" w:sz="0" w:space="0" w:color="auto"/>
            <w:bottom w:val="none" w:sz="0" w:space="0" w:color="auto"/>
            <w:right w:val="none" w:sz="0" w:space="0" w:color="auto"/>
          </w:divBdr>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246307458">
      <w:bodyDiv w:val="1"/>
      <w:marLeft w:val="0"/>
      <w:marRight w:val="0"/>
      <w:marTop w:val="21"/>
      <w:marBottom w:val="522"/>
      <w:divBdr>
        <w:top w:val="none" w:sz="0" w:space="0" w:color="auto"/>
        <w:left w:val="none" w:sz="0" w:space="0" w:color="auto"/>
        <w:bottom w:val="none" w:sz="0" w:space="0" w:color="auto"/>
        <w:right w:val="none" w:sz="0" w:space="0" w:color="auto"/>
      </w:divBdr>
      <w:divsChild>
        <w:div w:id="538274558">
          <w:marLeft w:val="0"/>
          <w:marRight w:val="0"/>
          <w:marTop w:val="0"/>
          <w:marBottom w:val="0"/>
          <w:divBdr>
            <w:top w:val="none" w:sz="0" w:space="0" w:color="auto"/>
            <w:left w:val="none" w:sz="0" w:space="0" w:color="auto"/>
            <w:bottom w:val="none" w:sz="0" w:space="0" w:color="auto"/>
            <w:right w:val="none" w:sz="0" w:space="0" w:color="auto"/>
          </w:divBdr>
        </w:div>
      </w:divsChild>
    </w:div>
    <w:div w:id="1406076570">
      <w:bodyDiv w:val="1"/>
      <w:marLeft w:val="0"/>
      <w:marRight w:val="0"/>
      <w:marTop w:val="21"/>
      <w:marBottom w:val="522"/>
      <w:divBdr>
        <w:top w:val="none" w:sz="0" w:space="0" w:color="auto"/>
        <w:left w:val="none" w:sz="0" w:space="0" w:color="auto"/>
        <w:bottom w:val="none" w:sz="0" w:space="0" w:color="auto"/>
        <w:right w:val="none" w:sz="0" w:space="0" w:color="auto"/>
      </w:divBdr>
      <w:divsChild>
        <w:div w:id="146023388">
          <w:marLeft w:val="0"/>
          <w:marRight w:val="0"/>
          <w:marTop w:val="0"/>
          <w:marBottom w:val="0"/>
          <w:divBdr>
            <w:top w:val="none" w:sz="0" w:space="0" w:color="auto"/>
            <w:left w:val="none" w:sz="0" w:space="0" w:color="auto"/>
            <w:bottom w:val="none" w:sz="0" w:space="0" w:color="auto"/>
            <w:right w:val="none" w:sz="0" w:space="0" w:color="auto"/>
          </w:divBdr>
          <w:divsChild>
            <w:div w:id="341706548">
              <w:marLeft w:val="0"/>
              <w:marRight w:val="0"/>
              <w:marTop w:val="0"/>
              <w:marBottom w:val="0"/>
              <w:divBdr>
                <w:top w:val="none" w:sz="0" w:space="0" w:color="auto"/>
                <w:left w:val="none" w:sz="0" w:space="0" w:color="auto"/>
                <w:bottom w:val="none" w:sz="0" w:space="0" w:color="auto"/>
                <w:right w:val="none" w:sz="0" w:space="0" w:color="auto"/>
              </w:divBdr>
            </w:div>
            <w:div w:id="1361589213">
              <w:marLeft w:val="0"/>
              <w:marRight w:val="0"/>
              <w:marTop w:val="0"/>
              <w:marBottom w:val="0"/>
              <w:divBdr>
                <w:top w:val="none" w:sz="0" w:space="0" w:color="auto"/>
                <w:left w:val="none" w:sz="0" w:space="0" w:color="auto"/>
                <w:bottom w:val="none" w:sz="0" w:space="0" w:color="auto"/>
                <w:right w:val="none" w:sz="0" w:space="0" w:color="auto"/>
              </w:divBdr>
            </w:div>
            <w:div w:id="998580800">
              <w:marLeft w:val="0"/>
              <w:marRight w:val="0"/>
              <w:marTop w:val="0"/>
              <w:marBottom w:val="0"/>
              <w:divBdr>
                <w:top w:val="none" w:sz="0" w:space="0" w:color="auto"/>
                <w:left w:val="none" w:sz="0" w:space="0" w:color="auto"/>
                <w:bottom w:val="none" w:sz="0" w:space="0" w:color="auto"/>
                <w:right w:val="none" w:sz="0" w:space="0" w:color="auto"/>
              </w:divBdr>
            </w:div>
            <w:div w:id="2035762080">
              <w:marLeft w:val="0"/>
              <w:marRight w:val="0"/>
              <w:marTop w:val="0"/>
              <w:marBottom w:val="0"/>
              <w:divBdr>
                <w:top w:val="none" w:sz="0" w:space="0" w:color="auto"/>
                <w:left w:val="none" w:sz="0" w:space="0" w:color="auto"/>
                <w:bottom w:val="none" w:sz="0" w:space="0" w:color="auto"/>
                <w:right w:val="none" w:sz="0" w:space="0" w:color="auto"/>
              </w:divBdr>
            </w:div>
            <w:div w:id="1866937241">
              <w:marLeft w:val="0"/>
              <w:marRight w:val="0"/>
              <w:marTop w:val="0"/>
              <w:marBottom w:val="0"/>
              <w:divBdr>
                <w:top w:val="none" w:sz="0" w:space="0" w:color="auto"/>
                <w:left w:val="none" w:sz="0" w:space="0" w:color="auto"/>
                <w:bottom w:val="none" w:sz="0" w:space="0" w:color="auto"/>
                <w:right w:val="none" w:sz="0" w:space="0" w:color="auto"/>
              </w:divBdr>
            </w:div>
            <w:div w:id="39596554">
              <w:marLeft w:val="0"/>
              <w:marRight w:val="0"/>
              <w:marTop w:val="0"/>
              <w:marBottom w:val="0"/>
              <w:divBdr>
                <w:top w:val="none" w:sz="0" w:space="0" w:color="auto"/>
                <w:left w:val="none" w:sz="0" w:space="0" w:color="auto"/>
                <w:bottom w:val="none" w:sz="0" w:space="0" w:color="auto"/>
                <w:right w:val="none" w:sz="0" w:space="0" w:color="auto"/>
              </w:divBdr>
            </w:div>
            <w:div w:id="450786347">
              <w:marLeft w:val="0"/>
              <w:marRight w:val="0"/>
              <w:marTop w:val="0"/>
              <w:marBottom w:val="0"/>
              <w:divBdr>
                <w:top w:val="none" w:sz="0" w:space="0" w:color="auto"/>
                <w:left w:val="none" w:sz="0" w:space="0" w:color="auto"/>
                <w:bottom w:val="none" w:sz="0" w:space="0" w:color="auto"/>
                <w:right w:val="none" w:sz="0" w:space="0" w:color="auto"/>
              </w:divBdr>
              <w:divsChild>
                <w:div w:id="1258248159">
                  <w:marLeft w:val="0"/>
                  <w:marRight w:val="0"/>
                  <w:marTop w:val="0"/>
                  <w:marBottom w:val="0"/>
                  <w:divBdr>
                    <w:top w:val="single" w:sz="8" w:space="0" w:color="000000"/>
                    <w:left w:val="single" w:sz="8" w:space="0" w:color="000000"/>
                    <w:bottom w:val="single" w:sz="8" w:space="0" w:color="000000"/>
                    <w:right w:val="single" w:sz="8" w:space="0" w:color="000000"/>
                  </w:divBdr>
                </w:div>
                <w:div w:id="629557187">
                  <w:marLeft w:val="0"/>
                  <w:marRight w:val="0"/>
                  <w:marTop w:val="0"/>
                  <w:marBottom w:val="0"/>
                  <w:divBdr>
                    <w:top w:val="none" w:sz="0" w:space="0" w:color="auto"/>
                    <w:left w:val="none" w:sz="0" w:space="0" w:color="auto"/>
                    <w:bottom w:val="none" w:sz="0" w:space="0" w:color="auto"/>
                    <w:right w:val="none" w:sz="0" w:space="0" w:color="auto"/>
                  </w:divBdr>
                </w:div>
              </w:divsChild>
            </w:div>
            <w:div w:id="1274901001">
              <w:marLeft w:val="0"/>
              <w:marRight w:val="0"/>
              <w:marTop w:val="0"/>
              <w:marBottom w:val="0"/>
              <w:divBdr>
                <w:top w:val="none" w:sz="0" w:space="0" w:color="auto"/>
                <w:left w:val="none" w:sz="0" w:space="0" w:color="auto"/>
                <w:bottom w:val="none" w:sz="0" w:space="0" w:color="auto"/>
                <w:right w:val="none" w:sz="0" w:space="0" w:color="auto"/>
              </w:divBdr>
            </w:div>
            <w:div w:id="1762723411">
              <w:marLeft w:val="0"/>
              <w:marRight w:val="0"/>
              <w:marTop w:val="0"/>
              <w:marBottom w:val="0"/>
              <w:divBdr>
                <w:top w:val="none" w:sz="0" w:space="0" w:color="auto"/>
                <w:left w:val="none" w:sz="0" w:space="0" w:color="auto"/>
                <w:bottom w:val="none" w:sz="0" w:space="0" w:color="auto"/>
                <w:right w:val="none" w:sz="0" w:space="0" w:color="auto"/>
              </w:divBdr>
            </w:div>
            <w:div w:id="902718126">
              <w:marLeft w:val="0"/>
              <w:marRight w:val="0"/>
              <w:marTop w:val="0"/>
              <w:marBottom w:val="0"/>
              <w:divBdr>
                <w:top w:val="none" w:sz="0" w:space="0" w:color="auto"/>
                <w:left w:val="none" w:sz="0" w:space="0" w:color="auto"/>
                <w:bottom w:val="none" w:sz="0" w:space="0" w:color="auto"/>
                <w:right w:val="none" w:sz="0" w:space="0" w:color="auto"/>
              </w:divBdr>
            </w:div>
            <w:div w:id="1253129829">
              <w:marLeft w:val="0"/>
              <w:marRight w:val="0"/>
              <w:marTop w:val="0"/>
              <w:marBottom w:val="0"/>
              <w:divBdr>
                <w:top w:val="none" w:sz="0" w:space="0" w:color="auto"/>
                <w:left w:val="none" w:sz="0" w:space="0" w:color="auto"/>
                <w:bottom w:val="none" w:sz="0" w:space="0" w:color="auto"/>
                <w:right w:val="none" w:sz="0" w:space="0" w:color="auto"/>
              </w:divBdr>
            </w:div>
            <w:div w:id="1539124606">
              <w:marLeft w:val="0"/>
              <w:marRight w:val="0"/>
              <w:marTop w:val="0"/>
              <w:marBottom w:val="0"/>
              <w:divBdr>
                <w:top w:val="none" w:sz="0" w:space="0" w:color="auto"/>
                <w:left w:val="none" w:sz="0" w:space="0" w:color="auto"/>
                <w:bottom w:val="none" w:sz="0" w:space="0" w:color="auto"/>
                <w:right w:val="none" w:sz="0" w:space="0" w:color="auto"/>
              </w:divBdr>
              <w:divsChild>
                <w:div w:id="98358515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378092147">
              <w:marLeft w:val="0"/>
              <w:marRight w:val="0"/>
              <w:marTop w:val="0"/>
              <w:marBottom w:val="0"/>
              <w:divBdr>
                <w:top w:val="none" w:sz="0" w:space="0" w:color="auto"/>
                <w:left w:val="none" w:sz="0" w:space="0" w:color="auto"/>
                <w:bottom w:val="none" w:sz="0" w:space="0" w:color="auto"/>
                <w:right w:val="none" w:sz="0" w:space="0" w:color="auto"/>
              </w:divBdr>
              <w:divsChild>
                <w:div w:id="105578540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13810579">
              <w:marLeft w:val="0"/>
              <w:marRight w:val="0"/>
              <w:marTop w:val="0"/>
              <w:marBottom w:val="0"/>
              <w:divBdr>
                <w:top w:val="none" w:sz="0" w:space="0" w:color="auto"/>
                <w:left w:val="none" w:sz="0" w:space="0" w:color="auto"/>
                <w:bottom w:val="none" w:sz="0" w:space="0" w:color="auto"/>
                <w:right w:val="none" w:sz="0" w:space="0" w:color="auto"/>
              </w:divBdr>
            </w:div>
            <w:div w:id="2023972162">
              <w:marLeft w:val="0"/>
              <w:marRight w:val="0"/>
              <w:marTop w:val="0"/>
              <w:marBottom w:val="0"/>
              <w:divBdr>
                <w:top w:val="none" w:sz="0" w:space="0" w:color="auto"/>
                <w:left w:val="none" w:sz="0" w:space="0" w:color="auto"/>
                <w:bottom w:val="none" w:sz="0" w:space="0" w:color="auto"/>
                <w:right w:val="none" w:sz="0" w:space="0" w:color="auto"/>
              </w:divBdr>
            </w:div>
            <w:div w:id="1108087786">
              <w:marLeft w:val="0"/>
              <w:marRight w:val="0"/>
              <w:marTop w:val="0"/>
              <w:marBottom w:val="0"/>
              <w:divBdr>
                <w:top w:val="none" w:sz="0" w:space="0" w:color="auto"/>
                <w:left w:val="none" w:sz="0" w:space="0" w:color="auto"/>
                <w:bottom w:val="none" w:sz="0" w:space="0" w:color="auto"/>
                <w:right w:val="none" w:sz="0" w:space="0" w:color="auto"/>
              </w:divBdr>
            </w:div>
            <w:div w:id="216471969">
              <w:marLeft w:val="0"/>
              <w:marRight w:val="0"/>
              <w:marTop w:val="0"/>
              <w:marBottom w:val="0"/>
              <w:divBdr>
                <w:top w:val="none" w:sz="0" w:space="0" w:color="auto"/>
                <w:left w:val="none" w:sz="0" w:space="0" w:color="auto"/>
                <w:bottom w:val="none" w:sz="0" w:space="0" w:color="auto"/>
                <w:right w:val="none" w:sz="0" w:space="0" w:color="auto"/>
              </w:divBdr>
            </w:div>
            <w:div w:id="914781657">
              <w:marLeft w:val="0"/>
              <w:marRight w:val="0"/>
              <w:marTop w:val="0"/>
              <w:marBottom w:val="0"/>
              <w:divBdr>
                <w:top w:val="none" w:sz="0" w:space="0" w:color="auto"/>
                <w:left w:val="none" w:sz="0" w:space="0" w:color="auto"/>
                <w:bottom w:val="none" w:sz="0" w:space="0" w:color="auto"/>
                <w:right w:val="none" w:sz="0" w:space="0" w:color="auto"/>
              </w:divBdr>
            </w:div>
            <w:div w:id="707879261">
              <w:marLeft w:val="0"/>
              <w:marRight w:val="0"/>
              <w:marTop w:val="0"/>
              <w:marBottom w:val="0"/>
              <w:divBdr>
                <w:top w:val="none" w:sz="0" w:space="0" w:color="auto"/>
                <w:left w:val="none" w:sz="0" w:space="0" w:color="auto"/>
                <w:bottom w:val="none" w:sz="0" w:space="0" w:color="auto"/>
                <w:right w:val="none" w:sz="0" w:space="0" w:color="auto"/>
              </w:divBdr>
              <w:divsChild>
                <w:div w:id="83272236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08185230">
              <w:marLeft w:val="0"/>
              <w:marRight w:val="0"/>
              <w:marTop w:val="0"/>
              <w:marBottom w:val="0"/>
              <w:divBdr>
                <w:top w:val="none" w:sz="0" w:space="0" w:color="auto"/>
                <w:left w:val="none" w:sz="0" w:space="0" w:color="auto"/>
                <w:bottom w:val="none" w:sz="0" w:space="0" w:color="auto"/>
                <w:right w:val="none" w:sz="0" w:space="0" w:color="auto"/>
              </w:divBdr>
            </w:div>
            <w:div w:id="1682200196">
              <w:marLeft w:val="0"/>
              <w:marRight w:val="0"/>
              <w:marTop w:val="0"/>
              <w:marBottom w:val="0"/>
              <w:divBdr>
                <w:top w:val="none" w:sz="0" w:space="0" w:color="auto"/>
                <w:left w:val="none" w:sz="0" w:space="0" w:color="auto"/>
                <w:bottom w:val="none" w:sz="0" w:space="0" w:color="auto"/>
                <w:right w:val="none" w:sz="0" w:space="0" w:color="auto"/>
              </w:divBdr>
            </w:div>
            <w:div w:id="725950805">
              <w:marLeft w:val="0"/>
              <w:marRight w:val="0"/>
              <w:marTop w:val="0"/>
              <w:marBottom w:val="0"/>
              <w:divBdr>
                <w:top w:val="none" w:sz="0" w:space="0" w:color="auto"/>
                <w:left w:val="none" w:sz="0" w:space="0" w:color="auto"/>
                <w:bottom w:val="none" w:sz="0" w:space="0" w:color="auto"/>
                <w:right w:val="none" w:sz="0" w:space="0" w:color="auto"/>
              </w:divBdr>
            </w:div>
            <w:div w:id="1162702337">
              <w:marLeft w:val="0"/>
              <w:marRight w:val="0"/>
              <w:marTop w:val="0"/>
              <w:marBottom w:val="0"/>
              <w:divBdr>
                <w:top w:val="none" w:sz="0" w:space="0" w:color="auto"/>
                <w:left w:val="none" w:sz="0" w:space="0" w:color="auto"/>
                <w:bottom w:val="none" w:sz="0" w:space="0" w:color="auto"/>
                <w:right w:val="none" w:sz="0" w:space="0" w:color="auto"/>
              </w:divBdr>
            </w:div>
            <w:div w:id="1043284472">
              <w:marLeft w:val="0"/>
              <w:marRight w:val="0"/>
              <w:marTop w:val="0"/>
              <w:marBottom w:val="0"/>
              <w:divBdr>
                <w:top w:val="none" w:sz="0" w:space="0" w:color="auto"/>
                <w:left w:val="none" w:sz="0" w:space="0" w:color="auto"/>
                <w:bottom w:val="none" w:sz="0" w:space="0" w:color="auto"/>
                <w:right w:val="none" w:sz="0" w:space="0" w:color="auto"/>
              </w:divBdr>
            </w:div>
            <w:div w:id="139285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371782">
      <w:bodyDiv w:val="1"/>
      <w:marLeft w:val="0"/>
      <w:marRight w:val="0"/>
      <w:marTop w:val="21"/>
      <w:marBottom w:val="522"/>
      <w:divBdr>
        <w:top w:val="none" w:sz="0" w:space="0" w:color="auto"/>
        <w:left w:val="none" w:sz="0" w:space="0" w:color="auto"/>
        <w:bottom w:val="none" w:sz="0" w:space="0" w:color="auto"/>
        <w:right w:val="none" w:sz="0" w:space="0" w:color="auto"/>
      </w:divBdr>
      <w:divsChild>
        <w:div w:id="981349462">
          <w:marLeft w:val="0"/>
          <w:marRight w:val="0"/>
          <w:marTop w:val="0"/>
          <w:marBottom w:val="0"/>
          <w:divBdr>
            <w:top w:val="none" w:sz="0" w:space="0" w:color="auto"/>
            <w:left w:val="none" w:sz="0" w:space="0" w:color="auto"/>
            <w:bottom w:val="none" w:sz="0" w:space="0" w:color="auto"/>
            <w:right w:val="none" w:sz="0" w:space="0" w:color="auto"/>
          </w:divBdr>
          <w:divsChild>
            <w:div w:id="799222738">
              <w:marLeft w:val="0"/>
              <w:marRight w:val="0"/>
              <w:marTop w:val="0"/>
              <w:marBottom w:val="0"/>
              <w:divBdr>
                <w:top w:val="none" w:sz="0" w:space="0" w:color="auto"/>
                <w:left w:val="none" w:sz="0" w:space="0" w:color="auto"/>
                <w:bottom w:val="none" w:sz="0" w:space="0" w:color="auto"/>
                <w:right w:val="none" w:sz="0" w:space="0" w:color="auto"/>
              </w:divBdr>
              <w:divsChild>
                <w:div w:id="1954969410">
                  <w:marLeft w:val="0"/>
                  <w:marRight w:val="0"/>
                  <w:marTop w:val="0"/>
                  <w:marBottom w:val="0"/>
                  <w:divBdr>
                    <w:top w:val="none" w:sz="0" w:space="0" w:color="auto"/>
                    <w:left w:val="none" w:sz="0" w:space="0" w:color="auto"/>
                    <w:bottom w:val="none" w:sz="0" w:space="0" w:color="auto"/>
                    <w:right w:val="none" w:sz="0" w:space="0" w:color="auto"/>
                  </w:divBdr>
                </w:div>
                <w:div w:id="1093747750">
                  <w:marLeft w:val="0"/>
                  <w:marRight w:val="0"/>
                  <w:marTop w:val="0"/>
                  <w:marBottom w:val="0"/>
                  <w:divBdr>
                    <w:top w:val="single" w:sz="8" w:space="0" w:color="000000"/>
                    <w:left w:val="single" w:sz="8" w:space="0" w:color="000000"/>
                    <w:bottom w:val="single" w:sz="8" w:space="0" w:color="000000"/>
                    <w:right w:val="single" w:sz="8" w:space="0" w:color="000000"/>
                  </w:divBdr>
                </w:div>
                <w:div w:id="19766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c=ecfr;sid=032e902341db8873af7fe153511e9f67;rgn=div6;view=text;node=40%3A7.0.1.1.1.10;idno=40;cc=ecfr" TargetMode="External"/><Relationship Id="rId117" Type="http://schemas.openxmlformats.org/officeDocument/2006/relationships/hyperlink" Target="http://ecfr.gpoaccess.gov/cgi/t/text/text-idx?c=ecfr&amp;rgn=div6&amp;view=text&amp;node=40:6.0.1.1.1.1&amp;idno=40" TargetMode="External"/><Relationship Id="rId21" Type="http://schemas.openxmlformats.org/officeDocument/2006/relationships/header" Target="header10.xml"/><Relationship Id="rId42" Type="http://schemas.openxmlformats.org/officeDocument/2006/relationships/footer" Target="footer6.xml"/><Relationship Id="rId47" Type="http://schemas.openxmlformats.org/officeDocument/2006/relationships/hyperlink" Target="http://www.ecfr.gov/cgi-bin/text-idx?c=ecfr;sid=547e5a5a43a490ef2545903ef0a2729b;rgn=div6;view=text;node=40%3A14.0.1.1.1.5;idno=40;cc=ecfr" TargetMode="External"/><Relationship Id="rId63" Type="http://schemas.openxmlformats.org/officeDocument/2006/relationships/hyperlink" Target="http://www.ecfr.gov/cgi-bin/text-idx?c=ecfr;sid=547e5a5a43a490ef2545903ef0a2729b;rgn=div6;view=text;node=40%3A14.0.1.1.1.5;idno=40;cc=ecfr" TargetMode="External"/><Relationship Id="rId68" Type="http://schemas.openxmlformats.org/officeDocument/2006/relationships/hyperlink" Target="http://www.ecfr.gov/cgi-bin/text-idx?c=ecfr;sid=547e5a5a43a490ef2545903ef0a2729b;rgn=div6;view=text;node=40%3A14.0.1.1.1.5;idno=40;cc=ecfr" TargetMode="External"/><Relationship Id="rId84" Type="http://schemas.openxmlformats.org/officeDocument/2006/relationships/hyperlink" Target="http://www.ecfr.gov/cgi-bin/text-idx?c=ecfr;sid=547e5a5a43a490ef2545903ef0a2729b;rgn=div6;view=text;node=40%3A14.0.1.1.1.5;idno=40;cc=ecfr" TargetMode="External"/><Relationship Id="rId89" Type="http://schemas.openxmlformats.org/officeDocument/2006/relationships/hyperlink" Target="http://www.ecfr.gov/cgi-bin/text-idx?c=ecfr;sid=547e5a5a43a490ef2545903ef0a2729b;rgn=div6;view=text;node=40%3A14.0.1.1.1.5;idno=40;cc=ecfr" TargetMode="External"/><Relationship Id="rId112" Type="http://schemas.openxmlformats.org/officeDocument/2006/relationships/header" Target="header22.xml"/><Relationship Id="rId16" Type="http://schemas.openxmlformats.org/officeDocument/2006/relationships/footer" Target="footer3.xml"/><Relationship Id="rId107" Type="http://schemas.openxmlformats.org/officeDocument/2006/relationships/image" Target="media/image13.png"/><Relationship Id="rId11" Type="http://schemas.openxmlformats.org/officeDocument/2006/relationships/header" Target="header3.xml"/><Relationship Id="rId32" Type="http://schemas.openxmlformats.org/officeDocument/2006/relationships/hyperlink" Target="http://www.ecfr.gov/cgi-bin/text-idx?c=ecfr;sid=032e902341db8873af7fe153511e9f67;rgn=div6;view=text;node=40%3A7.0.1.1.1.10;idno=40;cc=ecfr" TargetMode="External"/><Relationship Id="rId37" Type="http://schemas.openxmlformats.org/officeDocument/2006/relationships/hyperlink" Target="http://www.ecfr.gov/cgi-bin/text-idx?c=ecfr;sid=032e902341db8873af7fe153511e9f67;rgn=div6;view=text;node=40%3A7.0.1.1.1.10;idno=40;cc=ecfr" TargetMode="External"/><Relationship Id="rId53" Type="http://schemas.openxmlformats.org/officeDocument/2006/relationships/hyperlink" Target="http://www.ecfr.gov/cgi-bin/text-idx?c=ecfr;sid=547e5a5a43a490ef2545903ef0a2729b;rgn=div6;view=text;node=40%3A14.0.1.1.1.5;idno=40;cc=ecfr" TargetMode="External"/><Relationship Id="rId58" Type="http://schemas.openxmlformats.org/officeDocument/2006/relationships/hyperlink" Target="http://www.ecfr.gov/cgi-bin/text-idx?c=ecfr;sid=547e5a5a43a490ef2545903ef0a2729b;rgn=div6;view=text;node=40%3A14.0.1.1.1.5;idno=40;cc=ecfr" TargetMode="External"/><Relationship Id="rId74" Type="http://schemas.openxmlformats.org/officeDocument/2006/relationships/hyperlink" Target="http://www.ecfr.gov/cgi-bin/text-idx?c=ecfr;sid=547e5a5a43a490ef2545903ef0a2729b;rgn=div6;view=text;node=40%3A14.0.1.1.1.5;idno=40;cc=ecfr" TargetMode="External"/><Relationship Id="rId79" Type="http://schemas.openxmlformats.org/officeDocument/2006/relationships/hyperlink" Target="http://www.ecfr.gov/cgi-bin/text-idx?c=ecfr;sid=547e5a5a43a490ef2545903ef0a2729b;rgn=div6;view=text;node=40%3A14.0.1.1.1.5;idno=40;cc=ecfr" TargetMode="External"/><Relationship Id="rId102" Type="http://schemas.openxmlformats.org/officeDocument/2006/relationships/image" Target="media/image8.png"/><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ecfr.gov/cgi-bin/text-idx?c=ecfr;sid=547e5a5a43a490ef2545903ef0a2729b;rgn=div6;view=text;node=40%3A14.0.1.1.1.5;idno=40;cc=ecfr" TargetMode="External"/><Relationship Id="rId82" Type="http://schemas.openxmlformats.org/officeDocument/2006/relationships/hyperlink" Target="http://www.ecfr.gov/cgi-bin/text-idx?c=ecfr;sid=547e5a5a43a490ef2545903ef0a2729b;rgn=div6;view=text;node=40%3A14.0.1.1.1.5;idno=40;cc=ecfr" TargetMode="External"/><Relationship Id="rId90" Type="http://schemas.openxmlformats.org/officeDocument/2006/relationships/hyperlink" Target="http://www.ecfr.gov/cgi-bin/text-idx?c=ecfr;sid=547e5a5a43a490ef2545903ef0a2729b;rgn=div6;view=text;node=40%3A14.0.1.1.1.5;idno=40;cc=ecfr" TargetMode="External"/><Relationship Id="rId95" Type="http://schemas.openxmlformats.org/officeDocument/2006/relationships/image" Target="media/image1.png"/><Relationship Id="rId19" Type="http://schemas.openxmlformats.org/officeDocument/2006/relationships/header" Target="header9.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yperlink" Target="http://www.ecfr.gov/cgi-bin/text-idx?c=ecfr;sid=032e902341db8873af7fe153511e9f67;rgn=div6;view=text;node=40%3A7.0.1.1.1.10;idno=40;cc=ecfr" TargetMode="External"/><Relationship Id="rId30" Type="http://schemas.openxmlformats.org/officeDocument/2006/relationships/hyperlink" Target="http://www.ecfr.gov/cgi-bin/text-idx?c=ecfr;sid=032e902341db8873af7fe153511e9f67;rgn=div6;view=text;node=40%3A7.0.1.1.1.10;idno=40;cc=ecfr" TargetMode="External"/><Relationship Id="rId35" Type="http://schemas.openxmlformats.org/officeDocument/2006/relationships/hyperlink" Target="http://www.ecfr.gov/cgi-bin/text-idx?c=ecfr;sid=032e902341db8873af7fe153511e9f67;rgn=div6;view=text;node=40%3A7.0.1.1.1.10;idno=40;cc=ecfr" TargetMode="External"/><Relationship Id="rId43" Type="http://schemas.openxmlformats.org/officeDocument/2006/relationships/header" Target="header16.xml"/><Relationship Id="rId48" Type="http://schemas.openxmlformats.org/officeDocument/2006/relationships/hyperlink" Target="http://www.ecfr.gov/cgi-bin/text-idx?c=ecfr;sid=547e5a5a43a490ef2545903ef0a2729b;rgn=div6;view=text;node=40%3A14.0.1.1.1.5;idno=40;cc=ecfr" TargetMode="External"/><Relationship Id="rId56" Type="http://schemas.openxmlformats.org/officeDocument/2006/relationships/hyperlink" Target="http://www.ecfr.gov/cgi-bin/text-idx?c=ecfr;sid=547e5a5a43a490ef2545903ef0a2729b;rgn=div6;view=text;node=40%3A14.0.1.1.1.5;idno=40;cc=ecfr" TargetMode="External"/><Relationship Id="rId64" Type="http://schemas.openxmlformats.org/officeDocument/2006/relationships/hyperlink" Target="http://www.ecfr.gov/cgi-bin/text-idx?c=ecfr;sid=547e5a5a43a490ef2545903ef0a2729b;rgn=div6;view=text;node=40%3A14.0.1.1.1.5;idno=40;cc=ecfr" TargetMode="External"/><Relationship Id="rId69" Type="http://schemas.openxmlformats.org/officeDocument/2006/relationships/hyperlink" Target="http://www.ecfr.gov/cgi-bin/text-idx?c=ecfr;sid=547e5a5a43a490ef2545903ef0a2729b;rgn=div6;view=text;node=40%3A14.0.1.1.1.5;idno=40;cc=ecfr" TargetMode="External"/><Relationship Id="rId77" Type="http://schemas.openxmlformats.org/officeDocument/2006/relationships/hyperlink" Target="http://www.ecfr.gov/cgi-bin/text-idx?c=ecfr;sid=547e5a5a43a490ef2545903ef0a2729b;rgn=div6;view=text;node=40%3A14.0.1.1.1.5;idno=40;cc=ecfr" TargetMode="External"/><Relationship Id="rId100" Type="http://schemas.openxmlformats.org/officeDocument/2006/relationships/image" Target="media/image6.png"/><Relationship Id="rId105" Type="http://schemas.openxmlformats.org/officeDocument/2006/relationships/image" Target="media/image11.png"/><Relationship Id="rId113" Type="http://schemas.openxmlformats.org/officeDocument/2006/relationships/header" Target="header23.xml"/><Relationship Id="rId118" Type="http://schemas.openxmlformats.org/officeDocument/2006/relationships/hyperlink" Target="http://ecfr.gpoaccess.gov/cgi/t/text/text-idx?c=ecfr&amp;rgn=div6&amp;view=text&amp;node=40:9.0.1.1.1.1&amp;idno=40" TargetMode="External"/><Relationship Id="rId8" Type="http://schemas.openxmlformats.org/officeDocument/2006/relationships/header" Target="header1.xml"/><Relationship Id="rId51" Type="http://schemas.openxmlformats.org/officeDocument/2006/relationships/hyperlink" Target="http://www.ecfr.gov/cgi-bin/text-idx?c=ecfr;sid=547e5a5a43a490ef2545903ef0a2729b;rgn=div6;view=text;node=40%3A14.0.1.1.1.5;idno=40;cc=ecfr" TargetMode="External"/><Relationship Id="rId72" Type="http://schemas.openxmlformats.org/officeDocument/2006/relationships/hyperlink" Target="http://www.ecfr.gov/cgi-bin/text-idx?c=ecfr;sid=547e5a5a43a490ef2545903ef0a2729b;rgn=div6;view=text;node=40%3A14.0.1.1.1.5;idno=40;cc=ecfr" TargetMode="External"/><Relationship Id="rId80" Type="http://schemas.openxmlformats.org/officeDocument/2006/relationships/hyperlink" Target="http://www.ecfr.gov/cgi-bin/text-idx?c=ecfr;sid=547e5a5a43a490ef2545903ef0a2729b;rgn=div6;view=text;node=40%3A14.0.1.1.1.5;idno=40;cc=ecfr" TargetMode="External"/><Relationship Id="rId85" Type="http://schemas.openxmlformats.org/officeDocument/2006/relationships/hyperlink" Target="http://www.ecfr.gov/cgi-bin/text-idx?c=ecfr;sid=547e5a5a43a490ef2545903ef0a2729b;rgn=div6;view=text;node=40%3A14.0.1.1.1.5;idno=40;cc=ecfr" TargetMode="External"/><Relationship Id="rId93" Type="http://schemas.openxmlformats.org/officeDocument/2006/relationships/footer" Target="footer7.xml"/><Relationship Id="rId98" Type="http://schemas.openxmlformats.org/officeDocument/2006/relationships/image" Target="media/image4.png"/><Relationship Id="rId121" Type="http://schemas.openxmlformats.org/officeDocument/2006/relationships/footer" Target="foot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yperlink" Target="http://www.ecfr.gov/cgi-bin/text-idx?c=ecfr;sid=032e902341db8873af7fe153511e9f67;rgn=div6;view=text;node=40%3A7.0.1.1.1.10;idno=40;cc=ecfr" TargetMode="External"/><Relationship Id="rId38" Type="http://schemas.openxmlformats.org/officeDocument/2006/relationships/hyperlink" Target="http://www.ecfr.gov/cgi-bin/text-idx?c=ecfr;sid=032e902341db8873af7fe153511e9f67;rgn=div6;view=text;node=40%3A7.0.1.1.1.10;idno=40;cc=ecfr" TargetMode="External"/><Relationship Id="rId46" Type="http://schemas.openxmlformats.org/officeDocument/2006/relationships/hyperlink" Target="http://www.ecfr.gov/cgi-bin/text-idx?c=ecfr;sid=547e5a5a43a490ef2545903ef0a2729b;rgn=div6;view=text;node=40%3A14.0.1.1.1.5;idno=40;cc=ecfr" TargetMode="External"/><Relationship Id="rId59" Type="http://schemas.openxmlformats.org/officeDocument/2006/relationships/hyperlink" Target="http://www.ecfr.gov/cgi-bin/text-idx?c=ecfr;sid=547e5a5a43a490ef2545903ef0a2729b;rgn=div6;view=text;node=40%3A14.0.1.1.1.5;idno=40;cc=ecfr" TargetMode="External"/><Relationship Id="rId67" Type="http://schemas.openxmlformats.org/officeDocument/2006/relationships/hyperlink" Target="http://www.ecfr.gov/cgi-bin/text-idx?c=ecfr;sid=547e5a5a43a490ef2545903ef0a2729b;rgn=div6;view=text;node=40%3A14.0.1.1.1.5;idno=40;cc=ecfr" TargetMode="External"/><Relationship Id="rId103" Type="http://schemas.openxmlformats.org/officeDocument/2006/relationships/image" Target="media/image9.png"/><Relationship Id="rId108" Type="http://schemas.openxmlformats.org/officeDocument/2006/relationships/hyperlink" Target="http://www.ecfr.gov/cgi-bin/text-idx?c=ecfr&amp;SID=b3bfca124e0e4392aef2e91f22a7d840&amp;rgn=div9&amp;view=text&amp;node=40:17.0.1.1.4.8.1.7.11&amp;idno=40" TargetMode="External"/><Relationship Id="rId116" Type="http://schemas.openxmlformats.org/officeDocument/2006/relationships/header" Target="header25.xml"/><Relationship Id="rId124" Type="http://schemas.openxmlformats.org/officeDocument/2006/relationships/theme" Target="theme/theme1.xml"/><Relationship Id="rId20" Type="http://schemas.openxmlformats.org/officeDocument/2006/relationships/footer" Target="footer4.xml"/><Relationship Id="rId41" Type="http://schemas.openxmlformats.org/officeDocument/2006/relationships/header" Target="header15.xml"/><Relationship Id="rId54" Type="http://schemas.openxmlformats.org/officeDocument/2006/relationships/hyperlink" Target="http://www.ecfr.gov/cgi-bin/text-idx?c=ecfr;sid=547e5a5a43a490ef2545903ef0a2729b;rgn=div6;view=text;node=40%3A14.0.1.1.1.5;idno=40;cc=ecfr" TargetMode="External"/><Relationship Id="rId62" Type="http://schemas.openxmlformats.org/officeDocument/2006/relationships/hyperlink" Target="http://www.ecfr.gov/cgi-bin/text-idx?c=ecfr;sid=547e5a5a43a490ef2545903ef0a2729b;rgn=div6;view=text;node=40%3A14.0.1.1.1.5;idno=40;cc=ecfr" TargetMode="External"/><Relationship Id="rId70" Type="http://schemas.openxmlformats.org/officeDocument/2006/relationships/hyperlink" Target="http://www.ecfr.gov/cgi-bin/text-idx?c=ecfr;sid=547e5a5a43a490ef2545903ef0a2729b;rgn=div6;view=text;node=40%3A14.0.1.1.1.5;idno=40;cc=ecfr" TargetMode="External"/><Relationship Id="rId75" Type="http://schemas.openxmlformats.org/officeDocument/2006/relationships/hyperlink" Target="http://www.ecfr.gov/cgi-bin/text-idx?c=ecfr;sid=547e5a5a43a490ef2545903ef0a2729b;rgn=div6;view=text;node=40%3A14.0.1.1.1.5;idno=40;cc=ecfr" TargetMode="External"/><Relationship Id="rId83" Type="http://schemas.openxmlformats.org/officeDocument/2006/relationships/hyperlink" Target="http://www.ecfr.gov/cgi-bin/text-idx?c=ecfr;sid=547e5a5a43a490ef2545903ef0a2729b;rgn=div6;view=text;node=40%3A14.0.1.1.1.5;idno=40;cc=ecfr" TargetMode="External"/><Relationship Id="rId88" Type="http://schemas.openxmlformats.org/officeDocument/2006/relationships/hyperlink" Target="http://www.ecfr.gov/cgi-bin/text-idx?c=ecfr;sid=547e5a5a43a490ef2545903ef0a2729b;rgn=div6;view=text;node=40%3A14.0.1.1.1.5;idno=40;cc=ecfr" TargetMode="External"/><Relationship Id="rId91" Type="http://schemas.openxmlformats.org/officeDocument/2006/relationships/header" Target="header17.xml"/><Relationship Id="rId96" Type="http://schemas.openxmlformats.org/officeDocument/2006/relationships/image" Target="media/image2.png"/><Relationship Id="rId11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yperlink" Target="http://www.ecfr.gov/cgi-bin/text-idx?c=ecfr;sid=032e902341db8873af7fe153511e9f67;rgn=div6;view=text;node=40%3A7.0.1.1.1.10;idno=40;cc=ecfr" TargetMode="External"/><Relationship Id="rId36" Type="http://schemas.openxmlformats.org/officeDocument/2006/relationships/hyperlink" Target="http://www.ecfr.gov/cgi-bin/text-idx?c=ecfr;sid=032e902341db8873af7fe153511e9f67;rgn=div6;view=text;node=40%3A7.0.1.1.1.10;idno=40;cc=ecfr" TargetMode="External"/><Relationship Id="rId49" Type="http://schemas.openxmlformats.org/officeDocument/2006/relationships/hyperlink" Target="http://www.ecfr.gov/cgi-bin/text-idx?c=ecfr;sid=547e5a5a43a490ef2545903ef0a2729b;rgn=div6;view=text;node=40%3A14.0.1.1.1.5;idno=40;cc=ecfr" TargetMode="External"/><Relationship Id="rId57" Type="http://schemas.openxmlformats.org/officeDocument/2006/relationships/hyperlink" Target="http://www.ecfr.gov/cgi-bin/text-idx?c=ecfr;sid=547e5a5a43a490ef2545903ef0a2729b;rgn=div6;view=text;node=40%3A14.0.1.1.1.5;idno=40;cc=ecfr" TargetMode="External"/><Relationship Id="rId106" Type="http://schemas.openxmlformats.org/officeDocument/2006/relationships/image" Target="media/image12.png"/><Relationship Id="rId114" Type="http://schemas.openxmlformats.org/officeDocument/2006/relationships/header" Target="header24.xml"/><Relationship Id="rId119"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yperlink" Target="http://www.ecfr.gov/cgi-bin/text-idx?c=ecfr;sid=032e902341db8873af7fe153511e9f67;rgn=div6;view=text;node=40%3A7.0.1.1.1.10;idno=40;cc=ecfr" TargetMode="External"/><Relationship Id="rId44" Type="http://schemas.openxmlformats.org/officeDocument/2006/relationships/hyperlink" Target="http://www.ecfr.gov/cgi-bin/text-idx?c=ecfr;sid=547e5a5a43a490ef2545903ef0a2729b;rgn=div6;view=text;node=40%3A14.0.1.1.1.5;idno=40;cc=ecfr" TargetMode="External"/><Relationship Id="rId52" Type="http://schemas.openxmlformats.org/officeDocument/2006/relationships/hyperlink" Target="http://www.ecfr.gov/cgi-bin/text-idx?c=ecfr;sid=547e5a5a43a490ef2545903ef0a2729b;rgn=div6;view=text;node=40%3A14.0.1.1.1.5;idno=40;cc=ecfr" TargetMode="External"/><Relationship Id="rId60" Type="http://schemas.openxmlformats.org/officeDocument/2006/relationships/hyperlink" Target="http://www.ecfr.gov/cgi-bin/text-idx?c=ecfr;sid=547e5a5a43a490ef2545903ef0a2729b;rgn=div6;view=text;node=40%3A14.0.1.1.1.5;idno=40;cc=ecfr" TargetMode="External"/><Relationship Id="rId65" Type="http://schemas.openxmlformats.org/officeDocument/2006/relationships/hyperlink" Target="http://www.ecfr.gov/cgi-bin/text-idx?c=ecfr;sid=547e5a5a43a490ef2545903ef0a2729b;rgn=div6;view=text;node=40%3A14.0.1.1.1.5;idno=40;cc=ecfr" TargetMode="External"/><Relationship Id="rId73" Type="http://schemas.openxmlformats.org/officeDocument/2006/relationships/hyperlink" Target="http://www.ecfr.gov/cgi-bin/text-idx?c=ecfr;sid=547e5a5a43a490ef2545903ef0a2729b;rgn=div6;view=text;node=40%3A14.0.1.1.1.5;idno=40;cc=ecfr" TargetMode="External"/><Relationship Id="rId78" Type="http://schemas.openxmlformats.org/officeDocument/2006/relationships/hyperlink" Target="http://www.ecfr.gov/cgi-bin/text-idx?c=ecfr;sid=547e5a5a43a490ef2545903ef0a2729b;rgn=div6;view=text;node=40%3A14.0.1.1.1.5;idno=40;cc=ecfr" TargetMode="External"/><Relationship Id="rId81" Type="http://schemas.openxmlformats.org/officeDocument/2006/relationships/hyperlink" Target="http://www.ecfr.gov/cgi-bin/text-idx?c=ecfr;sid=547e5a5a43a490ef2545903ef0a2729b;rgn=div6;view=text;node=40%3A14.0.1.1.1.5;idno=40;cc=ecfr" TargetMode="External"/><Relationship Id="rId86" Type="http://schemas.openxmlformats.org/officeDocument/2006/relationships/hyperlink" Target="http://www.ecfr.gov/cgi-bin/text-idx?c=ecfr;sid=547e5a5a43a490ef2545903ef0a2729b;rgn=div6;view=text;node=40%3A14.0.1.1.1.5;idno=40;cc=ecfr" TargetMode="External"/><Relationship Id="rId94" Type="http://schemas.openxmlformats.org/officeDocument/2006/relationships/header" Target="header19.xml"/><Relationship Id="rId99" Type="http://schemas.openxmlformats.org/officeDocument/2006/relationships/image" Target="media/image5.png"/><Relationship Id="rId101" Type="http://schemas.openxmlformats.org/officeDocument/2006/relationships/image" Target="media/image7.png"/><Relationship Id="rId122"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yperlink" Target="http://www.ecfr.gov/cgi-bin/text-idx?c=ecfr;sid=032e902341db8873af7fe153511e9f67;rgn=div6;view=text;node=40%3A7.0.1.1.1.10;idno=40;cc=ecfr" TargetMode="External"/><Relationship Id="rId109" Type="http://schemas.openxmlformats.org/officeDocument/2006/relationships/header" Target="header20.xml"/><Relationship Id="rId34" Type="http://schemas.openxmlformats.org/officeDocument/2006/relationships/hyperlink" Target="http://www.ecfr.gov/cgi-bin/text-idx?c=ecfr;sid=032e902341db8873af7fe153511e9f67;rgn=div6;view=text;node=40%3A7.0.1.1.1.10;idno=40;cc=ecfr" TargetMode="External"/><Relationship Id="rId50" Type="http://schemas.openxmlformats.org/officeDocument/2006/relationships/hyperlink" Target="http://www.ecfr.gov/cgi-bin/text-idx?c=ecfr;sid=547e5a5a43a490ef2545903ef0a2729b;rgn=div6;view=text;node=40%3A14.0.1.1.1.5;idno=40;cc=ecfr" TargetMode="External"/><Relationship Id="rId55" Type="http://schemas.openxmlformats.org/officeDocument/2006/relationships/hyperlink" Target="http://www.ecfr.gov/cgi-bin/text-idx?c=ecfr;sid=547e5a5a43a490ef2545903ef0a2729b;rgn=div6;view=text;node=40%3A14.0.1.1.1.5;idno=40;cc=ecfr" TargetMode="External"/><Relationship Id="rId76" Type="http://schemas.openxmlformats.org/officeDocument/2006/relationships/hyperlink" Target="http://www.ecfr.gov/cgi-bin/text-idx?c=ecfr;sid=547e5a5a43a490ef2545903ef0a2729b;rgn=div6;view=text;node=40%3A14.0.1.1.1.5;idno=40;cc=ecfr" TargetMode="External"/><Relationship Id="rId97" Type="http://schemas.openxmlformats.org/officeDocument/2006/relationships/image" Target="media/image3.png"/><Relationship Id="rId104" Type="http://schemas.openxmlformats.org/officeDocument/2006/relationships/image" Target="media/image10.png"/><Relationship Id="rId120" Type="http://schemas.openxmlformats.org/officeDocument/2006/relationships/header" Target="header27.xml"/><Relationship Id="rId7" Type="http://schemas.openxmlformats.org/officeDocument/2006/relationships/endnotes" Target="endnotes.xml"/><Relationship Id="rId71" Type="http://schemas.openxmlformats.org/officeDocument/2006/relationships/hyperlink" Target="http://www.ecfr.gov/cgi-bin/text-idx?c=ecfr;sid=547e5a5a43a490ef2545903ef0a2729b;rgn=div6;view=text;node=40%3A14.0.1.1.1.5;idno=40;cc=ecfr" TargetMode="External"/><Relationship Id="rId92" Type="http://schemas.openxmlformats.org/officeDocument/2006/relationships/header" Target="header18.xml"/><Relationship Id="rId2" Type="http://schemas.openxmlformats.org/officeDocument/2006/relationships/numbering" Target="numbering.xml"/><Relationship Id="rId29" Type="http://schemas.openxmlformats.org/officeDocument/2006/relationships/hyperlink" Target="http://www.ecfr.gov/cgi-bin/text-idx?c=ecfr;sid=032e902341db8873af7fe153511e9f67;rgn=div6;view=text;node=40%3A7.0.1.1.1.10;idno=40;cc=ecfr" TargetMode="External"/><Relationship Id="rId24" Type="http://schemas.openxmlformats.org/officeDocument/2006/relationships/footer" Target="footer5.xml"/><Relationship Id="rId40" Type="http://schemas.openxmlformats.org/officeDocument/2006/relationships/header" Target="header14.xml"/><Relationship Id="rId45" Type="http://schemas.openxmlformats.org/officeDocument/2006/relationships/hyperlink" Target="http://www.ecfr.gov/cgi-bin/text-idx?c=ecfr;sid=547e5a5a43a490ef2545903ef0a2729b;rgn=div6;view=text;node=40%3A14.0.1.1.1.5;idno=40;cc=ecfr" TargetMode="External"/><Relationship Id="rId66" Type="http://schemas.openxmlformats.org/officeDocument/2006/relationships/hyperlink" Target="http://www.ecfr.gov/cgi-bin/text-idx?c=ecfr;sid=547e5a5a43a490ef2545903ef0a2729b;rgn=div6;view=text;node=40%3A14.0.1.1.1.5;idno=40;cc=ecfr" TargetMode="External"/><Relationship Id="rId87" Type="http://schemas.openxmlformats.org/officeDocument/2006/relationships/hyperlink" Target="http://www.ecfr.gov/cgi-bin/text-idx?c=ecfr;sid=547e5a5a43a490ef2545903ef0a2729b;rgn=div6;view=text;node=40%3A14.0.1.1.1.5;idno=40;cc=ecfr" TargetMode="External"/><Relationship Id="rId110" Type="http://schemas.openxmlformats.org/officeDocument/2006/relationships/header" Target="header21.xml"/><Relationship Id="rId115"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FAE8-F40E-459C-8FB7-B02946188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59</Pages>
  <Words>32917</Words>
  <Characters>184175</Characters>
  <Application>Microsoft Office Word</Application>
  <DocSecurity>0</DocSecurity>
  <Lines>1534</Lines>
  <Paragraphs>433</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216659</CharactersWithSpaces>
  <SharedDoc>false</SharedDoc>
  <HLinks>
    <vt:vector size="48"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131081</vt:i4>
      </vt:variant>
      <vt:variant>
        <vt:i4>18</vt:i4>
      </vt:variant>
      <vt:variant>
        <vt:i4>0</vt:i4>
      </vt:variant>
      <vt:variant>
        <vt:i4>5</vt:i4>
      </vt:variant>
      <vt:variant>
        <vt:lpwstr>http://ecfr.gpoaccess.gov/cgi/t/text/text-idx?c=ecfr&amp;sid=05a6f2b47c2c137bba5667e242516351&amp;rgn=div6&amp;view=text&amp;node=40:6.0.1.1.1.99&amp;idno=40</vt:lpwstr>
      </vt:variant>
      <vt:variant>
        <vt:lpwstr/>
      </vt:variant>
      <vt:variant>
        <vt:i4>6684769</vt:i4>
      </vt:variant>
      <vt:variant>
        <vt:i4>15</vt:i4>
      </vt:variant>
      <vt:variant>
        <vt:i4>0</vt:i4>
      </vt:variant>
      <vt:variant>
        <vt:i4>5</vt:i4>
      </vt:variant>
      <vt:variant>
        <vt:lpwstr>http://ecfr.gpoaccess.gov/cgi/t/text/text-idx?c=ecfr&amp;rgn=div6&amp;view=text&amp;node=40:9.0.1.1.1.1&amp;idno=40</vt:lpwstr>
      </vt:variant>
      <vt:variant>
        <vt:lpwstr/>
      </vt:variant>
      <vt:variant>
        <vt:i4>6684782</vt:i4>
      </vt:variant>
      <vt:variant>
        <vt:i4>12</vt:i4>
      </vt:variant>
      <vt:variant>
        <vt:i4>0</vt:i4>
      </vt:variant>
      <vt:variant>
        <vt:i4>5</vt:i4>
      </vt:variant>
      <vt:variant>
        <vt:lpwstr>http://ecfr.gpoaccess.gov/cgi/t/text/text-idx?c=ecfr&amp;rgn=div6&amp;view=text&amp;node=40:6.0.1.1.1.1&amp;idno=40</vt:lpwstr>
      </vt:variant>
      <vt:variant>
        <vt:lpwstr/>
      </vt:variant>
      <vt:variant>
        <vt:i4>5111821</vt:i4>
      </vt:variant>
      <vt:variant>
        <vt:i4>9</vt:i4>
      </vt:variant>
      <vt:variant>
        <vt:i4>0</vt:i4>
      </vt:variant>
      <vt:variant>
        <vt:i4>5</vt:i4>
      </vt:variant>
      <vt:variant>
        <vt:lpwstr>http://ecfr.gpoaccess.gov/cgi/t/text/text-idx?c=ecfr&amp;sid=090463345704fc6f96b2650727f1b452&amp;rgn=div9&amp;view=text&amp;node=40:16.0.1.1.4.8.1.7.11&amp;idno=40</vt:lpwstr>
      </vt:variant>
      <vt:variant>
        <vt:lpwstr/>
      </vt:variant>
      <vt:variant>
        <vt:i4>3801120</vt:i4>
      </vt:variant>
      <vt:variant>
        <vt:i4>6</vt:i4>
      </vt:variant>
      <vt:variant>
        <vt:i4>0</vt:i4>
      </vt:variant>
      <vt:variant>
        <vt:i4>5</vt:i4>
      </vt:variant>
      <vt:variant>
        <vt:lpwstr>http://www.gpo.gov/fdsys/pkg/FR-2011-12-23/html/2011-31667.htm</vt:lpwstr>
      </vt:variant>
      <vt:variant>
        <vt:lpwstr/>
      </vt:variant>
      <vt:variant>
        <vt:i4>4587533</vt:i4>
      </vt:variant>
      <vt:variant>
        <vt:i4>3</vt:i4>
      </vt:variant>
      <vt:variant>
        <vt:i4>0</vt:i4>
      </vt:variant>
      <vt:variant>
        <vt:i4>5</vt:i4>
      </vt:variant>
      <vt:variant>
        <vt:lpwstr>http://ecfr.gpoaccess.gov/cgi/t/text/text-idx?c=ecfr;rgn=div2;view=text;node=20110321%3A1.26;idno=40;sid=3505efe21c79553337bb1daeb5280ce0;cc=ecfr;start=1;size=25</vt:lpwstr>
      </vt:variant>
      <vt:variant>
        <vt:lpwstr/>
      </vt:variant>
      <vt:variant>
        <vt:i4>5963870</vt:i4>
      </vt:variant>
      <vt:variant>
        <vt:i4>0</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creator>Joseph Kahn</dc:creator>
  <cp:lastModifiedBy>arif_s</cp:lastModifiedBy>
  <cp:revision>2</cp:revision>
  <cp:lastPrinted>2011-11-16T16:09:00Z</cp:lastPrinted>
  <dcterms:created xsi:type="dcterms:W3CDTF">2013-08-27T19:09:00Z</dcterms:created>
  <dcterms:modified xsi:type="dcterms:W3CDTF">2013-08-27T19:09:00Z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